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D8DF2" w14:textId="7C83C2B3" w:rsidR="00C63E61" w:rsidRDefault="006B4A8A" w:rsidP="000A1DB5">
      <w:pPr>
        <w:pStyle w:val="Heading1"/>
        <w:jc w:val="center"/>
      </w:pPr>
      <w:bookmarkStart w:id="0" w:name="_Toc509391637"/>
      <w:r>
        <w:t xml:space="preserve">The Canadian </w:t>
      </w:r>
      <w:r w:rsidR="0095435B">
        <w:t xml:space="preserve">Medical </w:t>
      </w:r>
      <w:r>
        <w:t>L</w:t>
      </w:r>
      <w:r w:rsidR="00C63E61">
        <w:t xml:space="preserve">aboratory </w:t>
      </w:r>
      <w:r>
        <w:t>P</w:t>
      </w:r>
      <w:r w:rsidR="00C63E61">
        <w:t>rofession</w:t>
      </w:r>
      <w:r w:rsidR="00C120D3">
        <w:t>’s</w:t>
      </w:r>
      <w:r w:rsidR="00C63E61">
        <w:t xml:space="preserve"> </w:t>
      </w:r>
      <w:r>
        <w:t>C</w:t>
      </w:r>
      <w:r w:rsidR="00C63E61">
        <w:t xml:space="preserve">all to </w:t>
      </w:r>
      <w:r>
        <w:t>A</w:t>
      </w:r>
      <w:r w:rsidR="00C63E61">
        <w:t>ction</w:t>
      </w:r>
      <w:bookmarkEnd w:id="0"/>
    </w:p>
    <w:p w14:paraId="558800B3" w14:textId="2405618A" w:rsidR="00D64703" w:rsidRDefault="00D64703" w:rsidP="00D64703"/>
    <w:p w14:paraId="3163A9C6" w14:textId="77777777" w:rsidR="00D64703" w:rsidRDefault="00D64703" w:rsidP="00D64703">
      <w:pPr>
        <w:pBdr>
          <w:bottom w:val="single" w:sz="12" w:space="1" w:color="auto"/>
        </w:pBdr>
        <w:spacing w:after="0"/>
      </w:pPr>
    </w:p>
    <w:p w14:paraId="4C55E522" w14:textId="77777777" w:rsidR="00D64703" w:rsidRPr="00D64703" w:rsidRDefault="00D64703" w:rsidP="00D64703">
      <w:pPr>
        <w:spacing w:after="0"/>
        <w:rPr>
          <w:sz w:val="4"/>
          <w:szCs w:val="4"/>
        </w:rPr>
      </w:pPr>
    </w:p>
    <w:p w14:paraId="6AE30C0C" w14:textId="77777777" w:rsidR="00C81386" w:rsidRDefault="00D64703" w:rsidP="00C81386">
      <w:pPr>
        <w:pBdr>
          <w:bottom w:val="single" w:sz="12" w:space="1" w:color="auto"/>
        </w:pBdr>
        <w:spacing w:after="0"/>
        <w:jc w:val="center"/>
        <w:rPr>
          <w:rFonts w:cstheme="minorHAnsi"/>
          <w:i/>
          <w:iCs/>
          <w:color w:val="2F5496" w:themeColor="accent1" w:themeShade="BF"/>
        </w:rPr>
      </w:pPr>
      <w:r w:rsidRPr="00D64703">
        <w:rPr>
          <w:rFonts w:cstheme="minorHAnsi"/>
          <w:i/>
          <w:iCs/>
          <w:color w:val="2F5496" w:themeColor="accent1" w:themeShade="BF"/>
        </w:rPr>
        <w:t xml:space="preserve">The Canadian Society for Medical Laboratory Science (CSMLS) is </w:t>
      </w:r>
      <w:r w:rsidR="00C81386">
        <w:rPr>
          <w:rFonts w:cstheme="minorHAnsi"/>
          <w:i/>
          <w:iCs/>
          <w:color w:val="2F5496" w:themeColor="accent1" w:themeShade="BF"/>
        </w:rPr>
        <w:t xml:space="preserve">the </w:t>
      </w:r>
    </w:p>
    <w:p w14:paraId="026DE226" w14:textId="382EABB1" w:rsidR="00C81386" w:rsidRDefault="00C81386" w:rsidP="00C81386">
      <w:pPr>
        <w:pBdr>
          <w:bottom w:val="single" w:sz="12" w:space="1" w:color="auto"/>
        </w:pBdr>
        <w:spacing w:after="0"/>
        <w:jc w:val="center"/>
        <w:rPr>
          <w:rFonts w:cstheme="minorHAnsi"/>
          <w:i/>
          <w:iCs/>
          <w:color w:val="2F5496" w:themeColor="accent1" w:themeShade="BF"/>
        </w:rPr>
      </w:pPr>
      <w:r>
        <w:rPr>
          <w:rFonts w:cstheme="minorHAnsi"/>
          <w:i/>
          <w:iCs/>
          <w:color w:val="2F5496" w:themeColor="accent1" w:themeShade="BF"/>
        </w:rPr>
        <w:t xml:space="preserve">national and provincial certification leader for </w:t>
      </w:r>
      <w:r w:rsidR="00D64703" w:rsidRPr="00D64703">
        <w:rPr>
          <w:rFonts w:cstheme="minorHAnsi"/>
          <w:i/>
          <w:iCs/>
          <w:color w:val="2F5496" w:themeColor="accent1" w:themeShade="BF"/>
        </w:rPr>
        <w:t xml:space="preserve">medical laboratory technologists </w:t>
      </w:r>
      <w:r w:rsidR="00D64703">
        <w:rPr>
          <w:rFonts w:cstheme="minorHAnsi"/>
          <w:i/>
          <w:iCs/>
          <w:color w:val="2F5496" w:themeColor="accent1" w:themeShade="BF"/>
        </w:rPr>
        <w:t>(MLT</w:t>
      </w:r>
      <w:r w:rsidR="004C132B">
        <w:rPr>
          <w:rFonts w:cstheme="minorHAnsi"/>
          <w:i/>
          <w:iCs/>
          <w:color w:val="2F5496" w:themeColor="accent1" w:themeShade="BF"/>
        </w:rPr>
        <w:t>s</w:t>
      </w:r>
      <w:r w:rsidR="00D64703">
        <w:rPr>
          <w:rFonts w:cstheme="minorHAnsi"/>
          <w:i/>
          <w:iCs/>
          <w:color w:val="2F5496" w:themeColor="accent1" w:themeShade="BF"/>
        </w:rPr>
        <w:t>)</w:t>
      </w:r>
    </w:p>
    <w:p w14:paraId="650119A5" w14:textId="717D7027" w:rsidR="00C81386" w:rsidRDefault="00D64703" w:rsidP="00D64703">
      <w:pPr>
        <w:pBdr>
          <w:bottom w:val="single" w:sz="12" w:space="1" w:color="auto"/>
        </w:pBdr>
        <w:spacing w:after="0"/>
        <w:jc w:val="center"/>
        <w:rPr>
          <w:rFonts w:cstheme="minorHAnsi"/>
          <w:i/>
          <w:iCs/>
          <w:color w:val="2F5496" w:themeColor="accent1" w:themeShade="BF"/>
        </w:rPr>
      </w:pPr>
      <w:r w:rsidRPr="00D64703">
        <w:rPr>
          <w:rFonts w:cstheme="minorHAnsi"/>
          <w:i/>
          <w:iCs/>
          <w:color w:val="2F5496" w:themeColor="accent1" w:themeShade="BF"/>
        </w:rPr>
        <w:t>and medical laboratory assistants</w:t>
      </w:r>
      <w:r>
        <w:rPr>
          <w:rFonts w:cstheme="minorHAnsi"/>
          <w:i/>
          <w:iCs/>
          <w:color w:val="2F5496" w:themeColor="accent1" w:themeShade="BF"/>
        </w:rPr>
        <w:t>/technicians (MLA</w:t>
      </w:r>
      <w:r w:rsidR="004C132B">
        <w:rPr>
          <w:rFonts w:cstheme="minorHAnsi"/>
          <w:i/>
          <w:iCs/>
          <w:color w:val="2F5496" w:themeColor="accent1" w:themeShade="BF"/>
        </w:rPr>
        <w:t>s</w:t>
      </w:r>
      <w:r>
        <w:rPr>
          <w:rFonts w:cstheme="minorHAnsi"/>
          <w:i/>
          <w:iCs/>
          <w:color w:val="2F5496" w:themeColor="accent1" w:themeShade="BF"/>
        </w:rPr>
        <w:t>)</w:t>
      </w:r>
      <w:r w:rsidRPr="00D64703">
        <w:rPr>
          <w:rFonts w:cstheme="minorHAnsi"/>
          <w:i/>
          <w:iCs/>
          <w:color w:val="2F5496" w:themeColor="accent1" w:themeShade="BF"/>
        </w:rPr>
        <w:t xml:space="preserve">, and the </w:t>
      </w:r>
    </w:p>
    <w:p w14:paraId="17468D0F" w14:textId="7444739D" w:rsidR="00D64703" w:rsidRPr="00D64703" w:rsidRDefault="00D64703" w:rsidP="00D64703">
      <w:pPr>
        <w:pBdr>
          <w:bottom w:val="single" w:sz="12" w:space="1" w:color="auto"/>
        </w:pBdr>
        <w:spacing w:after="0"/>
        <w:jc w:val="center"/>
        <w:rPr>
          <w:rFonts w:cstheme="minorHAnsi"/>
          <w:color w:val="2F5496" w:themeColor="accent1" w:themeShade="BF"/>
        </w:rPr>
      </w:pPr>
      <w:r w:rsidRPr="00D64703">
        <w:rPr>
          <w:rFonts w:cstheme="minorHAnsi"/>
          <w:i/>
          <w:iCs/>
          <w:color w:val="2F5496" w:themeColor="accent1" w:themeShade="BF"/>
        </w:rPr>
        <w:t>national professional society for Canada's medical laboratory professionals</w:t>
      </w:r>
      <w:r>
        <w:rPr>
          <w:rFonts w:cstheme="minorHAnsi"/>
          <w:i/>
          <w:iCs/>
          <w:color w:val="2F5496" w:themeColor="accent1" w:themeShade="BF"/>
        </w:rPr>
        <w:t xml:space="preserve"> (MLP</w:t>
      </w:r>
      <w:r w:rsidR="004C132B">
        <w:rPr>
          <w:rFonts w:cstheme="minorHAnsi"/>
          <w:i/>
          <w:iCs/>
          <w:color w:val="2F5496" w:themeColor="accent1" w:themeShade="BF"/>
        </w:rPr>
        <w:t>s</w:t>
      </w:r>
      <w:r>
        <w:rPr>
          <w:rFonts w:cstheme="minorHAnsi"/>
          <w:i/>
          <w:iCs/>
          <w:color w:val="2F5496" w:themeColor="accent1" w:themeShade="BF"/>
        </w:rPr>
        <w:t>)</w:t>
      </w:r>
      <w:r w:rsidRPr="00D64703">
        <w:rPr>
          <w:rFonts w:cstheme="minorHAnsi"/>
          <w:i/>
          <w:iCs/>
          <w:color w:val="2F5496" w:themeColor="accent1" w:themeShade="BF"/>
        </w:rPr>
        <w:t>.</w:t>
      </w:r>
    </w:p>
    <w:p w14:paraId="5548EE53" w14:textId="77777777" w:rsidR="00D64703" w:rsidRPr="00D64703" w:rsidRDefault="00D64703" w:rsidP="00D64703">
      <w:pPr>
        <w:pBdr>
          <w:bottom w:val="single" w:sz="12" w:space="1" w:color="auto"/>
        </w:pBdr>
        <w:spacing w:after="0"/>
        <w:rPr>
          <w:sz w:val="4"/>
          <w:szCs w:val="4"/>
        </w:rPr>
      </w:pPr>
    </w:p>
    <w:p w14:paraId="2B38F451" w14:textId="77777777" w:rsidR="00D64703" w:rsidRDefault="00D64703" w:rsidP="003B4692"/>
    <w:p w14:paraId="29C167D0" w14:textId="033C6AB9" w:rsidR="000505A8" w:rsidRPr="00DD3E14" w:rsidRDefault="000505A8" w:rsidP="000505A8">
      <w:pPr>
        <w:rPr>
          <w:rFonts w:ascii="Rockwell" w:hAnsi="Rockwell"/>
          <w:i/>
        </w:rPr>
      </w:pPr>
      <w:r w:rsidRPr="00DD3E14">
        <w:rPr>
          <w:rFonts w:ascii="Rockwell" w:hAnsi="Rockwell"/>
          <w:i/>
        </w:rPr>
        <w:t>This document should be disseminated to educators, deans, administrators, clinical placement sites, regulators</w:t>
      </w:r>
      <w:r w:rsidR="005B3272" w:rsidRPr="00DD3E14">
        <w:rPr>
          <w:rFonts w:ascii="Rockwell" w:hAnsi="Rockwell"/>
          <w:i/>
        </w:rPr>
        <w:t>, accreditors</w:t>
      </w:r>
      <w:r w:rsidR="00F77FE2" w:rsidRPr="00DD3E14">
        <w:rPr>
          <w:rFonts w:ascii="Rockwell" w:hAnsi="Rockwell"/>
          <w:i/>
        </w:rPr>
        <w:t xml:space="preserve">, provincial health </w:t>
      </w:r>
      <w:r w:rsidR="00F77FE2" w:rsidRPr="00DD3E14">
        <w:rPr>
          <w:rFonts w:ascii="Rockwell" w:hAnsi="Rockwell"/>
          <w:i/>
          <w:noProof/>
        </w:rPr>
        <w:t>and</w:t>
      </w:r>
      <w:r w:rsidR="00F77FE2" w:rsidRPr="00DD3E14">
        <w:rPr>
          <w:rFonts w:ascii="Rockwell" w:hAnsi="Rockwell"/>
          <w:i/>
        </w:rPr>
        <w:t xml:space="preserve"> education government representatives </w:t>
      </w:r>
      <w:r w:rsidRPr="00DD3E14">
        <w:rPr>
          <w:rFonts w:ascii="Rockwell" w:hAnsi="Rockwell"/>
          <w:i/>
        </w:rPr>
        <w:t xml:space="preserve">and other medical laboratory stakeholders as required. Please forward to your colleagues and help </w:t>
      </w:r>
      <w:r w:rsidR="00547FC0" w:rsidRPr="00DD3E14">
        <w:rPr>
          <w:rFonts w:ascii="Rockwell" w:hAnsi="Rockwell"/>
          <w:i/>
        </w:rPr>
        <w:t>support the Call to Action</w:t>
      </w:r>
      <w:r w:rsidRPr="00DD3E14">
        <w:rPr>
          <w:rFonts w:ascii="Rockwell" w:hAnsi="Rockwell"/>
          <w:i/>
        </w:rPr>
        <w:t>.</w:t>
      </w:r>
    </w:p>
    <w:p w14:paraId="7302F2AB" w14:textId="77777777" w:rsidR="00547FC0" w:rsidRPr="00DD3E14" w:rsidRDefault="00547FC0" w:rsidP="000505A8">
      <w:pPr>
        <w:rPr>
          <w:rFonts w:ascii="Rockwell" w:hAnsi="Rockwell"/>
          <w:i/>
        </w:rPr>
      </w:pPr>
    </w:p>
    <w:p w14:paraId="0E8786CA" w14:textId="4F4FF478" w:rsidR="005B3272" w:rsidRPr="00DD3E14" w:rsidRDefault="005B3272" w:rsidP="00607983">
      <w:pPr>
        <w:rPr>
          <w:rFonts w:ascii="Rockwell" w:hAnsi="Rockwell"/>
        </w:rPr>
      </w:pPr>
      <w:r w:rsidRPr="00DD3E14">
        <w:rPr>
          <w:rFonts w:ascii="Rockwell" w:hAnsi="Rockwell"/>
          <w:b/>
        </w:rPr>
        <w:t xml:space="preserve">Call to Action </w:t>
      </w:r>
      <w:r w:rsidR="00607983" w:rsidRPr="00DD3E14">
        <w:rPr>
          <w:rFonts w:ascii="Rockwell" w:hAnsi="Rockwell"/>
          <w:b/>
        </w:rPr>
        <w:t>Purpose:</w:t>
      </w:r>
      <w:r w:rsidR="00607983" w:rsidRPr="00DD3E14">
        <w:rPr>
          <w:rFonts w:ascii="Rockwell" w:hAnsi="Rockwell"/>
        </w:rPr>
        <w:t xml:space="preserve"> </w:t>
      </w:r>
    </w:p>
    <w:p w14:paraId="282A5A7B" w14:textId="687056F9" w:rsidR="00607983" w:rsidRPr="00DD3E14" w:rsidRDefault="00607983" w:rsidP="00607983">
      <w:pPr>
        <w:rPr>
          <w:rFonts w:ascii="Rockwell" w:hAnsi="Rockwell"/>
        </w:rPr>
      </w:pPr>
      <w:r w:rsidRPr="00DD3E14">
        <w:rPr>
          <w:rFonts w:ascii="Rockwell" w:hAnsi="Rockwell"/>
        </w:rPr>
        <w:t xml:space="preserve">The </w:t>
      </w:r>
      <w:r w:rsidR="00547FC0" w:rsidRPr="00DD3E14">
        <w:rPr>
          <w:rFonts w:ascii="Rockwell" w:hAnsi="Rockwell"/>
        </w:rPr>
        <w:t>C</w:t>
      </w:r>
      <w:r w:rsidRPr="00DD3E14">
        <w:rPr>
          <w:rFonts w:ascii="Rockwell" w:hAnsi="Rockwell"/>
        </w:rPr>
        <w:t xml:space="preserve">all to </w:t>
      </w:r>
      <w:r w:rsidR="00547FC0" w:rsidRPr="00DD3E14">
        <w:rPr>
          <w:rFonts w:ascii="Rockwell" w:hAnsi="Rockwell"/>
        </w:rPr>
        <w:t>A</w:t>
      </w:r>
      <w:r w:rsidRPr="00DD3E14">
        <w:rPr>
          <w:rFonts w:ascii="Rockwell" w:hAnsi="Rockwell"/>
        </w:rPr>
        <w:t xml:space="preserve">ction </w:t>
      </w:r>
      <w:bookmarkStart w:id="1" w:name="_Hlk505586603"/>
      <w:r w:rsidRPr="00DD3E14">
        <w:rPr>
          <w:rFonts w:ascii="Rockwell" w:hAnsi="Rockwell"/>
        </w:rPr>
        <w:t>address</w:t>
      </w:r>
      <w:r w:rsidR="00547FC0" w:rsidRPr="00DD3E14">
        <w:rPr>
          <w:rFonts w:ascii="Rockwell" w:hAnsi="Rockwell"/>
        </w:rPr>
        <w:t>es</w:t>
      </w:r>
      <w:r w:rsidRPr="00DD3E14">
        <w:rPr>
          <w:rFonts w:ascii="Rockwell" w:hAnsi="Rockwell"/>
        </w:rPr>
        <w:t xml:space="preserve"> national</w:t>
      </w:r>
      <w:r w:rsidR="004C132B" w:rsidRPr="00DD3E14">
        <w:rPr>
          <w:rFonts w:ascii="Rockwell" w:hAnsi="Rockwell"/>
        </w:rPr>
        <w:t>,</w:t>
      </w:r>
      <w:r w:rsidRPr="00DD3E14">
        <w:rPr>
          <w:rFonts w:ascii="Rockwell" w:hAnsi="Rockwell"/>
        </w:rPr>
        <w:t xml:space="preserve"> regional</w:t>
      </w:r>
      <w:r w:rsidR="00547FC0" w:rsidRPr="00DD3E14">
        <w:rPr>
          <w:rFonts w:ascii="Rockwell" w:hAnsi="Rockwell"/>
        </w:rPr>
        <w:t>,</w:t>
      </w:r>
      <w:r w:rsidRPr="00DD3E14">
        <w:rPr>
          <w:rFonts w:ascii="Rockwell" w:hAnsi="Rockwell"/>
        </w:rPr>
        <w:t xml:space="preserve"> </w:t>
      </w:r>
      <w:r w:rsidR="008C283A" w:rsidRPr="00DD3E14">
        <w:rPr>
          <w:rFonts w:ascii="Rockwell" w:hAnsi="Rockwell"/>
        </w:rPr>
        <w:t xml:space="preserve">immediate and long-term </w:t>
      </w:r>
      <w:r w:rsidRPr="00DD3E14">
        <w:rPr>
          <w:rFonts w:ascii="Rockwell" w:hAnsi="Rockwell"/>
        </w:rPr>
        <w:t>efforts required to change the health human resource (HHR) shortage of medical laboratory technologists (MLT</w:t>
      </w:r>
      <w:r w:rsidR="004C132B" w:rsidRPr="00DD3E14">
        <w:rPr>
          <w:rFonts w:ascii="Rockwell" w:hAnsi="Rockwell"/>
        </w:rPr>
        <w:t>s</w:t>
      </w:r>
      <w:r w:rsidRPr="00DD3E14">
        <w:rPr>
          <w:rFonts w:ascii="Rockwell" w:hAnsi="Rockwell"/>
        </w:rPr>
        <w:t>) within Canada</w:t>
      </w:r>
      <w:bookmarkEnd w:id="1"/>
      <w:r w:rsidRPr="00DD3E14">
        <w:rPr>
          <w:rFonts w:ascii="Rockwell" w:hAnsi="Rockwell"/>
        </w:rPr>
        <w:t>.</w:t>
      </w:r>
    </w:p>
    <w:p w14:paraId="042585C7" w14:textId="2FE61C40" w:rsidR="000505A8" w:rsidRPr="00DD3E14" w:rsidRDefault="000505A8" w:rsidP="003B4692">
      <w:pPr>
        <w:rPr>
          <w:rFonts w:ascii="Rockwell" w:hAnsi="Rockwell"/>
          <w:b/>
        </w:rPr>
      </w:pPr>
      <w:r w:rsidRPr="00DD3E14">
        <w:rPr>
          <w:rFonts w:ascii="Rockwell" w:hAnsi="Rockwell"/>
          <w:b/>
        </w:rPr>
        <w:t>Background:</w:t>
      </w:r>
    </w:p>
    <w:p w14:paraId="5CA64A0E" w14:textId="1FDA80FE" w:rsidR="003B4692" w:rsidRPr="00DD3E14" w:rsidRDefault="003B4692" w:rsidP="003B4692">
      <w:pPr>
        <w:rPr>
          <w:rFonts w:ascii="Rockwell" w:hAnsi="Rockwell"/>
        </w:rPr>
      </w:pPr>
      <w:r w:rsidRPr="00DD3E14">
        <w:rPr>
          <w:rFonts w:ascii="Rockwell" w:hAnsi="Rockwell"/>
        </w:rPr>
        <w:t xml:space="preserve">The quality </w:t>
      </w:r>
      <w:r w:rsidR="00F91DD3" w:rsidRPr="00DD3E14">
        <w:rPr>
          <w:rFonts w:ascii="Rockwell" w:hAnsi="Rockwell"/>
        </w:rPr>
        <w:t xml:space="preserve">of </w:t>
      </w:r>
      <w:r w:rsidRPr="00DD3E14">
        <w:rPr>
          <w:rFonts w:ascii="Rockwell" w:hAnsi="Rockwell"/>
        </w:rPr>
        <w:t xml:space="preserve">and degree to which </w:t>
      </w:r>
      <w:r w:rsidR="00C120D3" w:rsidRPr="00DD3E14">
        <w:rPr>
          <w:rFonts w:ascii="Rockwell" w:hAnsi="Rockwell"/>
        </w:rPr>
        <w:t xml:space="preserve">medical laboratory professionals </w:t>
      </w:r>
      <w:r w:rsidR="00D64703" w:rsidRPr="00DD3E14">
        <w:rPr>
          <w:rFonts w:ascii="Rockwell" w:hAnsi="Rockwell"/>
        </w:rPr>
        <w:t xml:space="preserve">(MLP) </w:t>
      </w:r>
      <w:r w:rsidR="00C120D3" w:rsidRPr="00DD3E14">
        <w:rPr>
          <w:rFonts w:ascii="Rockwell" w:hAnsi="Rockwell"/>
        </w:rPr>
        <w:t xml:space="preserve">impact </w:t>
      </w:r>
      <w:r w:rsidRPr="00DD3E14">
        <w:rPr>
          <w:rFonts w:ascii="Rockwell" w:hAnsi="Rockwell"/>
        </w:rPr>
        <w:t xml:space="preserve">patient’s </w:t>
      </w:r>
      <w:r w:rsidR="00011B70" w:rsidRPr="00DD3E14">
        <w:rPr>
          <w:rFonts w:ascii="Rockwell" w:hAnsi="Rockwell"/>
        </w:rPr>
        <w:t xml:space="preserve">health </w:t>
      </w:r>
      <w:r w:rsidRPr="00DD3E14">
        <w:rPr>
          <w:rFonts w:ascii="Rockwell" w:hAnsi="Rockwell"/>
        </w:rPr>
        <w:t>decision</w:t>
      </w:r>
      <w:r w:rsidR="00011B70" w:rsidRPr="00DD3E14">
        <w:rPr>
          <w:rFonts w:ascii="Rockwell" w:hAnsi="Rockwell"/>
        </w:rPr>
        <w:t>s</w:t>
      </w:r>
      <w:r w:rsidRPr="00DD3E14">
        <w:rPr>
          <w:rFonts w:ascii="Rockwell" w:hAnsi="Rockwell"/>
        </w:rPr>
        <w:t xml:space="preserve"> </w:t>
      </w:r>
      <w:r w:rsidR="00C120D3" w:rsidRPr="00DD3E14">
        <w:rPr>
          <w:rFonts w:ascii="Rockwell" w:hAnsi="Rockwell"/>
        </w:rPr>
        <w:t xml:space="preserve">by performing </w:t>
      </w:r>
      <w:r w:rsidR="00E05861" w:rsidRPr="00DD3E14">
        <w:rPr>
          <w:rFonts w:ascii="Rockwell" w:hAnsi="Rockwell"/>
        </w:rPr>
        <w:t>laboratory tests</w:t>
      </w:r>
      <w:r w:rsidR="00F91DD3" w:rsidRPr="00DD3E14">
        <w:rPr>
          <w:rFonts w:ascii="Rockwell" w:hAnsi="Rockwell"/>
        </w:rPr>
        <w:t xml:space="preserve">, supporting the use of </w:t>
      </w:r>
      <w:r w:rsidR="00F91DD3" w:rsidRPr="00DD3E14">
        <w:rPr>
          <w:rFonts w:ascii="Rockwell" w:hAnsi="Rockwell"/>
          <w:noProof/>
        </w:rPr>
        <w:t>point-of</w:t>
      </w:r>
      <w:r w:rsidR="00FF1019" w:rsidRPr="00DD3E14">
        <w:rPr>
          <w:rFonts w:ascii="Rockwell" w:hAnsi="Rockwell"/>
          <w:noProof/>
        </w:rPr>
        <w:t>-</w:t>
      </w:r>
      <w:r w:rsidR="00F91DD3" w:rsidRPr="00DD3E14">
        <w:rPr>
          <w:rFonts w:ascii="Rockwell" w:hAnsi="Rockwell"/>
          <w:noProof/>
        </w:rPr>
        <w:t>care</w:t>
      </w:r>
      <w:r w:rsidR="00F91DD3" w:rsidRPr="00DD3E14">
        <w:rPr>
          <w:rFonts w:ascii="Rockwell" w:hAnsi="Rockwell"/>
        </w:rPr>
        <w:t xml:space="preserve"> devices and strengthening </w:t>
      </w:r>
      <w:r w:rsidR="00C120D3" w:rsidRPr="00DD3E14">
        <w:rPr>
          <w:rFonts w:ascii="Rockwell" w:hAnsi="Rockwell"/>
        </w:rPr>
        <w:t>clinical conversation</w:t>
      </w:r>
      <w:r w:rsidR="00F91DD3" w:rsidRPr="00DD3E14">
        <w:rPr>
          <w:rFonts w:ascii="Rockwell" w:hAnsi="Rockwell"/>
        </w:rPr>
        <w:t>s with evidence-based information</w:t>
      </w:r>
      <w:r w:rsidR="00C120D3" w:rsidRPr="00DD3E14">
        <w:rPr>
          <w:rFonts w:ascii="Rockwell" w:hAnsi="Rockwell"/>
        </w:rPr>
        <w:t xml:space="preserve">, </w:t>
      </w:r>
      <w:r w:rsidRPr="00DD3E14">
        <w:rPr>
          <w:rFonts w:ascii="Rockwell" w:hAnsi="Rockwell"/>
        </w:rPr>
        <w:t>counts on you</w:t>
      </w:r>
      <w:r w:rsidR="00C120D3" w:rsidRPr="00DD3E14">
        <w:rPr>
          <w:rFonts w:ascii="Rockwell" w:hAnsi="Rockwell"/>
        </w:rPr>
        <w:t xml:space="preserve"> to help change the </w:t>
      </w:r>
      <w:r w:rsidR="00F91DD3" w:rsidRPr="00DD3E14">
        <w:rPr>
          <w:rFonts w:ascii="Rockwell" w:hAnsi="Rockwell"/>
        </w:rPr>
        <w:t xml:space="preserve">HHR </w:t>
      </w:r>
      <w:r w:rsidR="00C120D3" w:rsidRPr="00DD3E14">
        <w:rPr>
          <w:rFonts w:ascii="Rockwell" w:hAnsi="Rockwell"/>
        </w:rPr>
        <w:t>shortage</w:t>
      </w:r>
      <w:r w:rsidRPr="00DD3E14">
        <w:rPr>
          <w:rFonts w:ascii="Rockwell" w:hAnsi="Rockwell"/>
        </w:rPr>
        <w:t>.</w:t>
      </w:r>
    </w:p>
    <w:p w14:paraId="7AEA0AD6" w14:textId="5F2E2B0E" w:rsidR="00E81FA3" w:rsidRPr="00DD3E14" w:rsidRDefault="00D64703" w:rsidP="003B4692">
      <w:pPr>
        <w:rPr>
          <w:rFonts w:ascii="Rockwell" w:hAnsi="Rockwell"/>
        </w:rPr>
      </w:pPr>
      <w:bookmarkStart w:id="2" w:name="_Hlk505587029"/>
      <w:r w:rsidRPr="00DD3E14">
        <w:rPr>
          <w:rFonts w:ascii="Rockwell" w:hAnsi="Rockwell"/>
        </w:rPr>
        <w:t xml:space="preserve">The </w:t>
      </w:r>
      <w:r w:rsidR="00E81FA3" w:rsidRPr="00DD3E14">
        <w:rPr>
          <w:rFonts w:ascii="Rockwell" w:hAnsi="Rockwell"/>
        </w:rPr>
        <w:t xml:space="preserve">government </w:t>
      </w:r>
      <w:r w:rsidRPr="00DD3E14">
        <w:rPr>
          <w:rFonts w:ascii="Rockwell" w:hAnsi="Rockwell"/>
        </w:rPr>
        <w:t xml:space="preserve">is not leading an </w:t>
      </w:r>
      <w:r w:rsidR="00E81FA3" w:rsidRPr="00DD3E14">
        <w:rPr>
          <w:rFonts w:ascii="Rockwell" w:hAnsi="Rockwell"/>
        </w:rPr>
        <w:t xml:space="preserve">initiative to help supplement the </w:t>
      </w:r>
      <w:r w:rsidR="005B3272" w:rsidRPr="00DD3E14">
        <w:rPr>
          <w:rFonts w:ascii="Rockwell" w:hAnsi="Rockwell"/>
        </w:rPr>
        <w:t xml:space="preserve">national </w:t>
      </w:r>
      <w:r w:rsidR="00E81FA3" w:rsidRPr="00DD3E14">
        <w:rPr>
          <w:rFonts w:ascii="Rockwell" w:hAnsi="Rockwell"/>
        </w:rPr>
        <w:t>HHR shortage for MLT</w:t>
      </w:r>
      <w:r w:rsidR="00607983" w:rsidRPr="00DD3E14">
        <w:rPr>
          <w:rFonts w:ascii="Rockwell" w:hAnsi="Rockwell"/>
        </w:rPr>
        <w:t>s</w:t>
      </w:r>
      <w:r w:rsidR="00E81FA3" w:rsidRPr="00DD3E14">
        <w:rPr>
          <w:rFonts w:ascii="Rockwell" w:hAnsi="Rockwell"/>
        </w:rPr>
        <w:t>. Without a national effort to change our profession’s situation, MLPs will experience greater hardship in the workplace</w:t>
      </w:r>
      <w:r w:rsidR="00547FC0" w:rsidRPr="00DD3E14">
        <w:rPr>
          <w:rFonts w:ascii="Rockwell" w:hAnsi="Rockwell"/>
        </w:rPr>
        <w:t xml:space="preserve">. Other </w:t>
      </w:r>
      <w:r w:rsidR="00E81FA3" w:rsidRPr="00DD3E14">
        <w:rPr>
          <w:rFonts w:ascii="Rockwell" w:hAnsi="Rockwell"/>
        </w:rPr>
        <w:t>health profession</w:t>
      </w:r>
      <w:r w:rsidR="001D36B0" w:rsidRPr="00DD3E14">
        <w:rPr>
          <w:rFonts w:ascii="Rockwell" w:hAnsi="Rockwell"/>
        </w:rPr>
        <w:t>al</w:t>
      </w:r>
      <w:r w:rsidR="00E81FA3" w:rsidRPr="00DD3E14">
        <w:rPr>
          <w:rFonts w:ascii="Rockwell" w:hAnsi="Rockwell"/>
        </w:rPr>
        <w:t>s</w:t>
      </w:r>
      <w:r w:rsidR="00547FC0" w:rsidRPr="00DD3E14">
        <w:rPr>
          <w:rFonts w:ascii="Rockwell" w:hAnsi="Rockwell"/>
        </w:rPr>
        <w:t>, who are not qualified in medical laboratory science,</w:t>
      </w:r>
      <w:r w:rsidR="00E81FA3" w:rsidRPr="00DD3E14">
        <w:rPr>
          <w:rFonts w:ascii="Rockwell" w:hAnsi="Rockwell"/>
        </w:rPr>
        <w:t xml:space="preserve"> will need to overtake some of our responsibilities </w:t>
      </w:r>
      <w:r w:rsidR="00C81386" w:rsidRPr="00DD3E14">
        <w:rPr>
          <w:rFonts w:ascii="Rockwell" w:hAnsi="Rockwell"/>
        </w:rPr>
        <w:t xml:space="preserve">(task shifting) </w:t>
      </w:r>
      <w:r w:rsidR="00E81FA3" w:rsidRPr="00DD3E14">
        <w:rPr>
          <w:rFonts w:ascii="Rockwell" w:hAnsi="Rockwell"/>
        </w:rPr>
        <w:t xml:space="preserve">in order to provide the </w:t>
      </w:r>
      <w:r w:rsidR="00E81FA3" w:rsidRPr="00DD3E14">
        <w:rPr>
          <w:rFonts w:ascii="Rockwell" w:hAnsi="Rockwell"/>
          <w:noProof/>
        </w:rPr>
        <w:t>best</w:t>
      </w:r>
      <w:r w:rsidR="00FF1019" w:rsidRPr="00DD3E14">
        <w:rPr>
          <w:rFonts w:ascii="Rockwell" w:hAnsi="Rockwell"/>
          <w:noProof/>
        </w:rPr>
        <w:t xml:space="preserve"> </w:t>
      </w:r>
      <w:r w:rsidR="005B3272" w:rsidRPr="00DD3E14">
        <w:rPr>
          <w:rFonts w:ascii="Rockwell" w:hAnsi="Rockwell"/>
          <w:noProof/>
        </w:rPr>
        <w:t xml:space="preserve">patient </w:t>
      </w:r>
      <w:r w:rsidR="00E81FA3" w:rsidRPr="00DD3E14">
        <w:rPr>
          <w:rFonts w:ascii="Rockwell" w:hAnsi="Rockwell"/>
          <w:noProof/>
        </w:rPr>
        <w:t>care</w:t>
      </w:r>
      <w:r w:rsidR="00E81FA3" w:rsidRPr="00DD3E14">
        <w:rPr>
          <w:rFonts w:ascii="Rockwell" w:hAnsi="Rockwell"/>
        </w:rPr>
        <w:t xml:space="preserve"> possible</w:t>
      </w:r>
      <w:r w:rsidR="005B3272" w:rsidRPr="00DD3E14">
        <w:rPr>
          <w:rFonts w:ascii="Rockwell" w:hAnsi="Rockwell"/>
        </w:rPr>
        <w:t xml:space="preserve">. Alternatively, our </w:t>
      </w:r>
      <w:r w:rsidR="00547FC0" w:rsidRPr="00DD3E14">
        <w:rPr>
          <w:rFonts w:ascii="Rockwell" w:hAnsi="Rockwell"/>
        </w:rPr>
        <w:t>patients will see a decline in laboratory testing services</w:t>
      </w:r>
      <w:r w:rsidR="001D36B0" w:rsidRPr="00DD3E14">
        <w:rPr>
          <w:rFonts w:ascii="Rockwell" w:hAnsi="Rockwell"/>
        </w:rPr>
        <w:t>,</w:t>
      </w:r>
      <w:r w:rsidR="00547FC0" w:rsidRPr="00DD3E14">
        <w:rPr>
          <w:rFonts w:ascii="Rockwell" w:hAnsi="Rockwell"/>
        </w:rPr>
        <w:t xml:space="preserve"> with potentially negative impact on their health</w:t>
      </w:r>
      <w:r w:rsidR="00E81FA3" w:rsidRPr="00DD3E14">
        <w:rPr>
          <w:rFonts w:ascii="Rockwell" w:hAnsi="Rockwell"/>
        </w:rPr>
        <w:t>.</w:t>
      </w:r>
    </w:p>
    <w:bookmarkEnd w:id="2"/>
    <w:p w14:paraId="655B85B0" w14:textId="37F0FD7F" w:rsidR="001833DD" w:rsidRPr="00DD3E14" w:rsidRDefault="001833DD" w:rsidP="001833DD">
      <w:pPr>
        <w:rPr>
          <w:rFonts w:ascii="Rockwell" w:hAnsi="Rockwell"/>
        </w:rPr>
      </w:pPr>
      <w:r w:rsidRPr="00DD3E14">
        <w:rPr>
          <w:rFonts w:ascii="Rockwell" w:hAnsi="Rockwell"/>
        </w:rPr>
        <w:t xml:space="preserve">The public and CSMLS have strong expectations </w:t>
      </w:r>
      <w:r w:rsidRPr="00DD3E14">
        <w:rPr>
          <w:rFonts w:ascii="Rockwell" w:hAnsi="Rockwell"/>
          <w:noProof/>
        </w:rPr>
        <w:t>of</w:t>
      </w:r>
      <w:r w:rsidRPr="00DD3E14">
        <w:rPr>
          <w:rFonts w:ascii="Rockwell" w:hAnsi="Rockwell"/>
        </w:rPr>
        <w:t xml:space="preserve"> the testing produced by Canada’s health care workforce. We believe MLPs are integral </w:t>
      </w:r>
      <w:r w:rsidR="0050002F" w:rsidRPr="00DD3E14">
        <w:rPr>
          <w:rFonts w:ascii="Rockwell" w:hAnsi="Rockwell"/>
          <w:noProof/>
        </w:rPr>
        <w:t>to</w:t>
      </w:r>
      <w:r w:rsidRPr="00DD3E14">
        <w:rPr>
          <w:rFonts w:ascii="Rockwell" w:hAnsi="Rockwell"/>
        </w:rPr>
        <w:t xml:space="preserve"> this process and that informed and committed MLPs, laboratories </w:t>
      </w:r>
      <w:r w:rsidRPr="00DD3E14">
        <w:rPr>
          <w:rFonts w:ascii="Rockwell" w:hAnsi="Rockwell"/>
          <w:noProof/>
        </w:rPr>
        <w:t>and</w:t>
      </w:r>
      <w:r w:rsidRPr="00DD3E14">
        <w:rPr>
          <w:rFonts w:ascii="Rockwell" w:hAnsi="Rockwell"/>
        </w:rPr>
        <w:t xml:space="preserve"> academic programs are central to taking action.</w:t>
      </w:r>
    </w:p>
    <w:p w14:paraId="7AAF881C" w14:textId="023C7F94" w:rsidR="00E81FA3" w:rsidRPr="00DD3E14" w:rsidRDefault="00547FC0" w:rsidP="003B4692">
      <w:pPr>
        <w:rPr>
          <w:rFonts w:ascii="Rockwell" w:hAnsi="Rockwell"/>
        </w:rPr>
      </w:pPr>
      <w:r w:rsidRPr="00DD3E14">
        <w:rPr>
          <w:rFonts w:ascii="Rockwell" w:hAnsi="Rockwell"/>
        </w:rPr>
        <w:t>W</w:t>
      </w:r>
      <w:r w:rsidR="00E81FA3" w:rsidRPr="00DD3E14">
        <w:rPr>
          <w:rFonts w:ascii="Rockwell" w:hAnsi="Rockwell"/>
        </w:rPr>
        <w:t>e have an opportunity to change the outcome of the HHR shortage. As a nation of medical laboratory stakeholders</w:t>
      </w:r>
      <w:r w:rsidR="00387FC9" w:rsidRPr="00DD3E14">
        <w:rPr>
          <w:rFonts w:ascii="Rockwell" w:hAnsi="Rockwell"/>
        </w:rPr>
        <w:t xml:space="preserve"> who contribute to patient care and </w:t>
      </w:r>
      <w:r w:rsidR="00387FC9" w:rsidRPr="00DD3E14">
        <w:rPr>
          <w:rFonts w:ascii="Rockwell" w:hAnsi="Rockwell"/>
          <w:noProof/>
        </w:rPr>
        <w:t xml:space="preserve">health </w:t>
      </w:r>
      <w:r w:rsidR="009A652B" w:rsidRPr="00DD3E14">
        <w:rPr>
          <w:rFonts w:ascii="Rockwell" w:hAnsi="Rockwell"/>
          <w:noProof/>
        </w:rPr>
        <w:t>care</w:t>
      </w:r>
      <w:r w:rsidR="009A652B" w:rsidRPr="00DD3E14">
        <w:rPr>
          <w:rFonts w:ascii="Rockwell" w:hAnsi="Rockwell"/>
        </w:rPr>
        <w:t xml:space="preserve"> </w:t>
      </w:r>
      <w:r w:rsidR="00387FC9" w:rsidRPr="00DD3E14">
        <w:rPr>
          <w:rFonts w:ascii="Rockwell" w:hAnsi="Rockwell"/>
        </w:rPr>
        <w:t>team decisions</w:t>
      </w:r>
      <w:r w:rsidR="00E81FA3" w:rsidRPr="00DD3E14">
        <w:rPr>
          <w:rFonts w:ascii="Rockwell" w:hAnsi="Rockwell"/>
        </w:rPr>
        <w:t>, we need to</w:t>
      </w:r>
      <w:r w:rsidR="00387FC9" w:rsidRPr="00DD3E14">
        <w:rPr>
          <w:rFonts w:ascii="Rockwell" w:hAnsi="Rockwell"/>
        </w:rPr>
        <w:t xml:space="preserve"> </w:t>
      </w:r>
      <w:r w:rsidR="009A652B" w:rsidRPr="00DD3E14">
        <w:rPr>
          <w:rFonts w:ascii="Rockwell" w:hAnsi="Rockwell"/>
        </w:rPr>
        <w:t xml:space="preserve">fix </w:t>
      </w:r>
      <w:r w:rsidR="00387FC9" w:rsidRPr="00DD3E14">
        <w:rPr>
          <w:rFonts w:ascii="Rockwell" w:hAnsi="Rockwell"/>
        </w:rPr>
        <w:t>th</w:t>
      </w:r>
      <w:r w:rsidR="00C81386" w:rsidRPr="00DD3E14">
        <w:rPr>
          <w:rFonts w:ascii="Rockwell" w:hAnsi="Rockwell"/>
        </w:rPr>
        <w:t>is</w:t>
      </w:r>
      <w:r w:rsidR="00387FC9" w:rsidRPr="00DD3E14">
        <w:rPr>
          <w:rFonts w:ascii="Rockwell" w:hAnsi="Rockwell"/>
        </w:rPr>
        <w:t xml:space="preserve"> </w:t>
      </w:r>
      <w:r w:rsidR="00C81386" w:rsidRPr="00DD3E14">
        <w:rPr>
          <w:rFonts w:ascii="Rockwell" w:hAnsi="Rockwell"/>
        </w:rPr>
        <w:t xml:space="preserve">immediately </w:t>
      </w:r>
      <w:r w:rsidR="00387FC9" w:rsidRPr="00DD3E14">
        <w:rPr>
          <w:rFonts w:ascii="Rockwell" w:hAnsi="Rockwell"/>
        </w:rPr>
        <w:t>unfolding</w:t>
      </w:r>
      <w:r w:rsidR="00C81386" w:rsidRPr="00DD3E14">
        <w:rPr>
          <w:rFonts w:ascii="Rockwell" w:hAnsi="Rockwell"/>
        </w:rPr>
        <w:t>,</w:t>
      </w:r>
      <w:r w:rsidR="00387FC9" w:rsidRPr="00DD3E14">
        <w:rPr>
          <w:rFonts w:ascii="Rockwell" w:hAnsi="Rockwell"/>
        </w:rPr>
        <w:t xml:space="preserve"> complex and negative scenario today</w:t>
      </w:r>
      <w:r w:rsidR="00E81FA3" w:rsidRPr="00DD3E14">
        <w:rPr>
          <w:rFonts w:ascii="Rockwell" w:hAnsi="Rockwell"/>
        </w:rPr>
        <w:t>.</w:t>
      </w:r>
    </w:p>
    <w:p w14:paraId="777B9F97" w14:textId="4126BB7B" w:rsidR="003B4692" w:rsidRPr="00DD3E14" w:rsidRDefault="00011B70" w:rsidP="000669A2">
      <w:pPr>
        <w:ind w:firstLine="360"/>
        <w:rPr>
          <w:rFonts w:ascii="Rockwell" w:hAnsi="Rockwell"/>
          <w:b/>
        </w:rPr>
      </w:pPr>
      <w:r w:rsidRPr="00DD3E14">
        <w:rPr>
          <w:rFonts w:ascii="Rockwell" w:hAnsi="Rockwell"/>
          <w:b/>
        </w:rPr>
        <w:t>What the evidence tells us:</w:t>
      </w:r>
    </w:p>
    <w:p w14:paraId="0227DCA9" w14:textId="509F6A37" w:rsidR="003E5523" w:rsidRPr="00DD3E14" w:rsidRDefault="003E5523" w:rsidP="003E5523">
      <w:pPr>
        <w:pStyle w:val="ListParagraph"/>
        <w:numPr>
          <w:ilvl w:val="0"/>
          <w:numId w:val="8"/>
        </w:numPr>
        <w:rPr>
          <w:rFonts w:ascii="Rockwell" w:hAnsi="Rockwell"/>
        </w:rPr>
      </w:pPr>
      <w:r w:rsidRPr="00DD3E14">
        <w:rPr>
          <w:rFonts w:ascii="Rockwell" w:hAnsi="Rockwell"/>
        </w:rPr>
        <w:t>MLPs are faced with workload burden</w:t>
      </w:r>
      <w:r w:rsidR="00280890" w:rsidRPr="00DD3E14">
        <w:rPr>
          <w:rFonts w:ascii="Rockwell" w:hAnsi="Rockwell"/>
        </w:rPr>
        <w:t>s</w:t>
      </w:r>
      <w:r w:rsidRPr="00DD3E14">
        <w:rPr>
          <w:rFonts w:ascii="Rockwell" w:hAnsi="Rockwell"/>
        </w:rPr>
        <w:t xml:space="preserve"> </w:t>
      </w:r>
      <w:r w:rsidRPr="00DD3E14">
        <w:rPr>
          <w:rFonts w:ascii="Rockwell" w:hAnsi="Rockwell"/>
          <w:noProof/>
        </w:rPr>
        <w:t>due</w:t>
      </w:r>
      <w:r w:rsidR="0095435B" w:rsidRPr="00DD3E14">
        <w:rPr>
          <w:rFonts w:ascii="Rockwell" w:hAnsi="Rockwell"/>
          <w:noProof/>
        </w:rPr>
        <w:t xml:space="preserve"> to</w:t>
      </w:r>
      <w:r w:rsidRPr="00DD3E14">
        <w:rPr>
          <w:rFonts w:ascii="Rockwell" w:hAnsi="Rockwell"/>
        </w:rPr>
        <w:t xml:space="preserve"> increased precarious employment positions and the associated health care system spending recession, even in the face </w:t>
      </w:r>
      <w:r w:rsidRPr="00DD3E14">
        <w:rPr>
          <w:rFonts w:ascii="Rockwell" w:hAnsi="Rockwell"/>
        </w:rPr>
        <w:lastRenderedPageBreak/>
        <w:t>of increased automation within laboratories and workforce shortages. MLAs are a vital resource is supporting the work of MLTs and vice versa.</w:t>
      </w:r>
    </w:p>
    <w:p w14:paraId="4E48FEC9" w14:textId="3FD6EF48" w:rsidR="003E5523" w:rsidRPr="00DD3E14" w:rsidRDefault="003E5523" w:rsidP="003E5523">
      <w:pPr>
        <w:pStyle w:val="ListParagraph"/>
        <w:numPr>
          <w:ilvl w:val="1"/>
          <w:numId w:val="8"/>
        </w:numPr>
        <w:rPr>
          <w:rFonts w:ascii="Rockwell" w:hAnsi="Rockwell"/>
        </w:rPr>
      </w:pPr>
      <w:r w:rsidRPr="00DD3E14">
        <w:rPr>
          <w:rFonts w:ascii="Rockwell" w:hAnsi="Rockwell"/>
        </w:rPr>
        <w:t>Precarious positions have been noted as a technique to supplement budgetary restraints in the lab according to stakeholder discussions.</w:t>
      </w:r>
    </w:p>
    <w:p w14:paraId="6163321F" w14:textId="15918D68" w:rsidR="003E5523" w:rsidRPr="00DD3E14" w:rsidRDefault="003E5523" w:rsidP="003E5523">
      <w:pPr>
        <w:pStyle w:val="ListParagraph"/>
        <w:numPr>
          <w:ilvl w:val="1"/>
          <w:numId w:val="8"/>
        </w:numPr>
        <w:rPr>
          <w:rFonts w:ascii="Rockwell" w:hAnsi="Rockwell"/>
        </w:rPr>
      </w:pPr>
      <w:r w:rsidRPr="00DD3E14">
        <w:rPr>
          <w:rFonts w:ascii="Rockwell" w:hAnsi="Rockwell"/>
        </w:rPr>
        <w:t>Workload measures continue to show an upward trend in the profession</w:t>
      </w:r>
      <w:r w:rsidR="001D36B0" w:rsidRPr="00DD3E14">
        <w:rPr>
          <w:rFonts w:ascii="Rockwell" w:hAnsi="Rockwell"/>
        </w:rPr>
        <w:t>.</w:t>
      </w:r>
      <w:r w:rsidRPr="00DD3E14">
        <w:rPr>
          <w:rFonts w:ascii="Rockwell" w:hAnsi="Rockwell"/>
        </w:rPr>
        <w:t xml:space="preserve"> Ontario had projected a 1.8% per year increase for lab tests between 2005 and 2010</w:t>
      </w:r>
      <w:r w:rsidR="001D36B0" w:rsidRPr="00DD3E14">
        <w:rPr>
          <w:rFonts w:ascii="Rockwell" w:hAnsi="Rockwell"/>
        </w:rPr>
        <w:t>;</w:t>
      </w:r>
      <w:r w:rsidRPr="00DD3E14">
        <w:rPr>
          <w:rFonts w:ascii="Rockwell" w:hAnsi="Rockwell"/>
        </w:rPr>
        <w:t xml:space="preserve"> however, an actual increase of almost 4% per year was experienced</w:t>
      </w:r>
      <w:r w:rsidR="001D36B0" w:rsidRPr="00DD3E14">
        <w:rPr>
          <w:rFonts w:ascii="Rockwell" w:hAnsi="Rockwell"/>
        </w:rPr>
        <w:t>,</w:t>
      </w:r>
      <w:r w:rsidRPr="00DD3E14">
        <w:rPr>
          <w:rFonts w:ascii="Rockwell" w:hAnsi="Rockwell"/>
        </w:rPr>
        <w:t xml:space="preserve"> resulting in the number of tests going up faster than workforce capacity.</w:t>
      </w:r>
      <w:r w:rsidRPr="00DD3E14">
        <w:rPr>
          <w:rStyle w:val="FootnoteReference"/>
          <w:rFonts w:ascii="Rockwell" w:hAnsi="Rockwell"/>
        </w:rPr>
        <w:footnoteReference w:id="1"/>
      </w:r>
      <w:r w:rsidRPr="00DD3E14">
        <w:rPr>
          <w:rFonts w:ascii="Rockwell" w:hAnsi="Rockwell"/>
        </w:rPr>
        <w:t xml:space="preserve">  </w:t>
      </w:r>
    </w:p>
    <w:p w14:paraId="3586BC95" w14:textId="53EDFC3C" w:rsidR="003E5523" w:rsidRPr="00DD3E14" w:rsidRDefault="00FE728E" w:rsidP="003E5523">
      <w:pPr>
        <w:pStyle w:val="ListParagraph"/>
        <w:numPr>
          <w:ilvl w:val="1"/>
          <w:numId w:val="8"/>
        </w:numPr>
        <w:rPr>
          <w:rFonts w:ascii="Rockwell" w:hAnsi="Rockwell"/>
        </w:rPr>
      </w:pPr>
      <w:hyperlink r:id="rId9" w:history="1">
        <w:r w:rsidR="003E5523" w:rsidRPr="00DD3E14">
          <w:rPr>
            <w:rStyle w:val="Hyperlink"/>
            <w:rFonts w:ascii="Rockwell" w:hAnsi="Rockwell"/>
          </w:rPr>
          <w:t>Newly Certified Graduate Survey</w:t>
        </w:r>
      </w:hyperlink>
      <w:r w:rsidR="003E5523" w:rsidRPr="00DD3E14">
        <w:rPr>
          <w:rFonts w:ascii="Rockwell" w:hAnsi="Rockwell"/>
        </w:rPr>
        <w:t xml:space="preserve"> data for 2017 reveals a consistently high number of precarious positions for MLTs who have entered the workforce within a year of CSMLS certification. Although 95% of MLTs held a position at the time, only 48% held a permanent </w:t>
      </w:r>
      <w:r w:rsidR="003E5523" w:rsidRPr="00DD3E14">
        <w:rPr>
          <w:rFonts w:ascii="Rockwell" w:hAnsi="Rockwell"/>
          <w:noProof/>
        </w:rPr>
        <w:t>full</w:t>
      </w:r>
      <w:r w:rsidR="0095435B" w:rsidRPr="00DD3E14">
        <w:rPr>
          <w:rFonts w:ascii="Rockwell" w:hAnsi="Rockwell"/>
          <w:noProof/>
        </w:rPr>
        <w:t>-</w:t>
      </w:r>
      <w:r w:rsidR="003E5523" w:rsidRPr="00DD3E14">
        <w:rPr>
          <w:rFonts w:ascii="Rockwell" w:hAnsi="Rockwell"/>
          <w:noProof/>
        </w:rPr>
        <w:t>time</w:t>
      </w:r>
      <w:r w:rsidR="003E5523" w:rsidRPr="00DD3E14">
        <w:rPr>
          <w:rFonts w:ascii="Rockwell" w:hAnsi="Rockwell"/>
        </w:rPr>
        <w:t xml:space="preserve"> position; the remainder held </w:t>
      </w:r>
      <w:r w:rsidR="003E5523" w:rsidRPr="00DD3E14">
        <w:rPr>
          <w:rFonts w:ascii="Rockwell" w:hAnsi="Rockwell"/>
          <w:noProof/>
        </w:rPr>
        <w:t>part</w:t>
      </w:r>
      <w:r w:rsidR="0095435B" w:rsidRPr="00DD3E14">
        <w:rPr>
          <w:rFonts w:ascii="Rockwell" w:hAnsi="Rockwell"/>
          <w:noProof/>
        </w:rPr>
        <w:t>-</w:t>
      </w:r>
      <w:r w:rsidR="003E5523" w:rsidRPr="00DD3E14">
        <w:rPr>
          <w:rFonts w:ascii="Rockwell" w:hAnsi="Rockwell"/>
          <w:noProof/>
        </w:rPr>
        <w:t>time</w:t>
      </w:r>
      <w:r w:rsidR="003E5523" w:rsidRPr="00DD3E14">
        <w:rPr>
          <w:rFonts w:ascii="Rockwell" w:hAnsi="Rockwell"/>
        </w:rPr>
        <w:t xml:space="preserve">, temporary or casual positions. Note the situation is even worse for MLAs, who only held </w:t>
      </w:r>
      <w:r w:rsidR="003E5523" w:rsidRPr="00DD3E14">
        <w:rPr>
          <w:rFonts w:ascii="Rockwell" w:hAnsi="Rockwell"/>
          <w:noProof/>
        </w:rPr>
        <w:t>permanent full</w:t>
      </w:r>
      <w:r w:rsidR="0095435B" w:rsidRPr="00DD3E14">
        <w:rPr>
          <w:rFonts w:ascii="Rockwell" w:hAnsi="Rockwell"/>
          <w:noProof/>
        </w:rPr>
        <w:t>-</w:t>
      </w:r>
      <w:r w:rsidR="003E5523" w:rsidRPr="00DD3E14">
        <w:rPr>
          <w:rFonts w:ascii="Rockwell" w:hAnsi="Rockwell"/>
          <w:noProof/>
        </w:rPr>
        <w:t>time positions</w:t>
      </w:r>
      <w:r w:rsidR="003E5523" w:rsidRPr="00DD3E14">
        <w:rPr>
          <w:rFonts w:ascii="Rockwell" w:hAnsi="Rockwell"/>
        </w:rPr>
        <w:t xml:space="preserve"> 16% of the time.</w:t>
      </w:r>
    </w:p>
    <w:p w14:paraId="0CFD7A7F" w14:textId="12AEBF9D" w:rsidR="003E5523" w:rsidRDefault="003E5523" w:rsidP="003E5523">
      <w:pPr>
        <w:pStyle w:val="ListParagraph"/>
        <w:numPr>
          <w:ilvl w:val="1"/>
          <w:numId w:val="8"/>
        </w:numPr>
        <w:rPr>
          <w:rFonts w:ascii="Rockwell" w:hAnsi="Rockwell"/>
        </w:rPr>
      </w:pPr>
      <w:r w:rsidRPr="00DD3E14">
        <w:rPr>
          <w:rFonts w:ascii="Rockwell" w:hAnsi="Rockwell"/>
        </w:rPr>
        <w:t>Mental health issues in the workplace due to the work environment and workload burden for MLP</w:t>
      </w:r>
      <w:r w:rsidR="001D36B0" w:rsidRPr="00DD3E14">
        <w:rPr>
          <w:rFonts w:ascii="Rockwell" w:hAnsi="Rockwell"/>
        </w:rPr>
        <w:t>s</w:t>
      </w:r>
      <w:r w:rsidRPr="00DD3E14">
        <w:rPr>
          <w:rFonts w:ascii="Rockwell" w:hAnsi="Rockwell"/>
        </w:rPr>
        <w:t xml:space="preserve"> </w:t>
      </w:r>
      <w:r w:rsidR="001D36B0" w:rsidRPr="00DD3E14">
        <w:rPr>
          <w:rFonts w:ascii="Rockwell" w:hAnsi="Rockwell"/>
        </w:rPr>
        <w:t>are</w:t>
      </w:r>
      <w:r w:rsidRPr="00DD3E14">
        <w:rPr>
          <w:rFonts w:ascii="Rockwell" w:hAnsi="Rockwell"/>
        </w:rPr>
        <w:t xml:space="preserve"> </w:t>
      </w:r>
      <w:r w:rsidRPr="00DD3E14">
        <w:rPr>
          <w:rFonts w:ascii="Rockwell" w:hAnsi="Rockwell"/>
          <w:noProof/>
        </w:rPr>
        <w:t>at</w:t>
      </w:r>
      <w:r w:rsidRPr="00DD3E14">
        <w:rPr>
          <w:rFonts w:ascii="Rockwell" w:hAnsi="Rockwell"/>
        </w:rPr>
        <w:t xml:space="preserve"> a critical state</w:t>
      </w:r>
      <w:bookmarkStart w:id="3" w:name="_GoBack"/>
      <w:bookmarkEnd w:id="3"/>
      <w:r w:rsidRPr="00DD3E14">
        <w:rPr>
          <w:rFonts w:ascii="Rockwell" w:hAnsi="Rockwell"/>
        </w:rPr>
        <w:t>.</w:t>
      </w:r>
    </w:p>
    <w:p w14:paraId="1A07D7D0" w14:textId="77777777" w:rsidR="00DD3E14" w:rsidRPr="00DD3E14" w:rsidRDefault="00DD3E14" w:rsidP="00DD3E14">
      <w:pPr>
        <w:pStyle w:val="ListParagraph"/>
        <w:ind w:left="1440"/>
        <w:rPr>
          <w:rFonts w:ascii="Rockwell" w:hAnsi="Rockwell"/>
        </w:rPr>
      </w:pPr>
    </w:p>
    <w:p w14:paraId="425B690C" w14:textId="4A31CEDA" w:rsidR="00011B70" w:rsidRPr="00DD3E14" w:rsidRDefault="00F91DD3" w:rsidP="003E5523">
      <w:pPr>
        <w:pStyle w:val="ListParagraph"/>
        <w:numPr>
          <w:ilvl w:val="0"/>
          <w:numId w:val="8"/>
        </w:numPr>
        <w:spacing w:after="0"/>
        <w:rPr>
          <w:rFonts w:ascii="Rockwell" w:hAnsi="Rockwell"/>
        </w:rPr>
      </w:pPr>
      <w:r w:rsidRPr="00DD3E14">
        <w:rPr>
          <w:rFonts w:ascii="Rockwell" w:hAnsi="Rockwell"/>
        </w:rPr>
        <w:t xml:space="preserve">There is </w:t>
      </w:r>
      <w:r w:rsidRPr="00DD3E14">
        <w:rPr>
          <w:rFonts w:ascii="Rockwell" w:hAnsi="Rockwell"/>
          <w:noProof/>
        </w:rPr>
        <w:t>a</w:t>
      </w:r>
      <w:r w:rsidR="0050002F" w:rsidRPr="00DD3E14">
        <w:rPr>
          <w:rFonts w:ascii="Rockwell" w:hAnsi="Rockwell"/>
          <w:noProof/>
        </w:rPr>
        <w:t>n</w:t>
      </w:r>
      <w:r w:rsidRPr="00DD3E14">
        <w:rPr>
          <w:rFonts w:ascii="Rockwell" w:hAnsi="Rockwell"/>
          <w:noProof/>
        </w:rPr>
        <w:t xml:space="preserve"> MLT</w:t>
      </w:r>
      <w:r w:rsidRPr="00DD3E14">
        <w:rPr>
          <w:rFonts w:ascii="Rockwell" w:hAnsi="Rockwell"/>
        </w:rPr>
        <w:t xml:space="preserve"> </w:t>
      </w:r>
      <w:r w:rsidR="00547FC0" w:rsidRPr="00DD3E14">
        <w:rPr>
          <w:rFonts w:ascii="Rockwell" w:hAnsi="Rockwell"/>
        </w:rPr>
        <w:t xml:space="preserve">workforce </w:t>
      </w:r>
      <w:r w:rsidR="00D64703" w:rsidRPr="00DD3E14">
        <w:rPr>
          <w:rFonts w:ascii="Rockwell" w:hAnsi="Rockwell"/>
        </w:rPr>
        <w:t>s</w:t>
      </w:r>
      <w:r w:rsidRPr="00DD3E14">
        <w:rPr>
          <w:rFonts w:ascii="Rockwell" w:hAnsi="Rockwell"/>
        </w:rPr>
        <w:t>hortage</w:t>
      </w:r>
      <w:r w:rsidR="00E81FA3" w:rsidRPr="00DD3E14">
        <w:rPr>
          <w:rFonts w:ascii="Rockwell" w:hAnsi="Rockwell"/>
        </w:rPr>
        <w:t xml:space="preserve"> currently</w:t>
      </w:r>
      <w:r w:rsidR="001D36B0" w:rsidRPr="00DD3E14">
        <w:rPr>
          <w:rFonts w:ascii="Rockwell" w:hAnsi="Rockwell"/>
        </w:rPr>
        <w:t>,</w:t>
      </w:r>
      <w:r w:rsidR="00E81FA3" w:rsidRPr="00DD3E14">
        <w:rPr>
          <w:rFonts w:ascii="Rockwell" w:hAnsi="Rockwell"/>
        </w:rPr>
        <w:t xml:space="preserve"> and it</w:t>
      </w:r>
      <w:r w:rsidRPr="00DD3E14">
        <w:rPr>
          <w:rFonts w:ascii="Rockwell" w:hAnsi="Rockwell"/>
        </w:rPr>
        <w:t xml:space="preserve"> will </w:t>
      </w:r>
      <w:r w:rsidR="00E81FA3" w:rsidRPr="00DD3E14">
        <w:rPr>
          <w:rFonts w:ascii="Rockwell" w:hAnsi="Rockwell"/>
        </w:rPr>
        <w:t>worsen as baby</w:t>
      </w:r>
      <w:r w:rsidR="001D36B0" w:rsidRPr="00DD3E14">
        <w:rPr>
          <w:rFonts w:ascii="Rockwell" w:hAnsi="Rockwell"/>
        </w:rPr>
        <w:t xml:space="preserve"> </w:t>
      </w:r>
      <w:r w:rsidR="00E81FA3" w:rsidRPr="00DD3E14">
        <w:rPr>
          <w:rFonts w:ascii="Rockwell" w:hAnsi="Rockwell"/>
        </w:rPr>
        <w:t xml:space="preserve">boomers retire. The current and future shortage </w:t>
      </w:r>
      <w:r w:rsidRPr="00DD3E14">
        <w:rPr>
          <w:rFonts w:ascii="Rockwell" w:hAnsi="Rockwell"/>
        </w:rPr>
        <w:t xml:space="preserve">is not supplemented by a corresponding increase in student seats </w:t>
      </w:r>
      <w:r w:rsidR="00E81FA3" w:rsidRPr="00DD3E14">
        <w:rPr>
          <w:rFonts w:ascii="Rockwell" w:hAnsi="Rockwell"/>
        </w:rPr>
        <w:t xml:space="preserve">within </w:t>
      </w:r>
      <w:r w:rsidRPr="00DD3E14">
        <w:rPr>
          <w:rFonts w:ascii="Rockwell" w:hAnsi="Rockwell"/>
        </w:rPr>
        <w:t>academic programs.</w:t>
      </w:r>
      <w:r w:rsidR="00D64703" w:rsidRPr="00DD3E14">
        <w:rPr>
          <w:rFonts w:ascii="Rockwell" w:hAnsi="Rockwell"/>
        </w:rPr>
        <w:t xml:space="preserve"> Evidence examples:</w:t>
      </w:r>
    </w:p>
    <w:p w14:paraId="0609D403" w14:textId="5C468572" w:rsidR="00FD2F3B" w:rsidRPr="00DD3E14" w:rsidRDefault="00FE728E" w:rsidP="006E3F4D">
      <w:pPr>
        <w:pStyle w:val="CSMLS-Body"/>
        <w:numPr>
          <w:ilvl w:val="1"/>
          <w:numId w:val="8"/>
        </w:numPr>
        <w:spacing w:after="0" w:line="276" w:lineRule="auto"/>
        <w:rPr>
          <w:rFonts w:cstheme="minorHAnsi"/>
          <w:szCs w:val="22"/>
          <w:lang w:val="en-US"/>
        </w:rPr>
      </w:pPr>
      <w:hyperlink r:id="rId10" w:history="1">
        <w:r w:rsidR="00AD276C" w:rsidRPr="00DD3E14">
          <w:rPr>
            <w:rStyle w:val="Hyperlink"/>
            <w:rFonts w:eastAsia="Rockwell,MinionPro-Regular" w:cstheme="minorHAnsi"/>
            <w:szCs w:val="22"/>
            <w:lang w:val="en-US"/>
          </w:rPr>
          <w:t xml:space="preserve">Data released in </w:t>
        </w:r>
        <w:r w:rsidR="00B9623D" w:rsidRPr="00DD3E14">
          <w:rPr>
            <w:rStyle w:val="Hyperlink"/>
            <w:rFonts w:eastAsia="Rockwell,MinionPro-Regular" w:cstheme="minorHAnsi"/>
            <w:szCs w:val="22"/>
            <w:lang w:val="en-US"/>
          </w:rPr>
          <w:t>2015 show</w:t>
        </w:r>
        <w:r w:rsidR="00AD276C" w:rsidRPr="00DD3E14">
          <w:rPr>
            <w:rStyle w:val="Hyperlink"/>
            <w:rFonts w:eastAsia="Rockwell,MinionPro-Regular" w:cstheme="minorHAnsi"/>
            <w:szCs w:val="22"/>
            <w:lang w:val="en-US"/>
          </w:rPr>
          <w:t>ed</w:t>
        </w:r>
      </w:hyperlink>
      <w:r w:rsidR="00B9623D" w:rsidRPr="00DD3E14">
        <w:rPr>
          <w:rStyle w:val="Hyperlink"/>
          <w:rFonts w:eastAsia="Rockwell,MinionPro-Regular" w:cstheme="minorHAnsi"/>
          <w:szCs w:val="22"/>
          <w:lang w:val="en-US"/>
        </w:rPr>
        <w:t xml:space="preserve"> </w:t>
      </w:r>
      <w:r w:rsidR="00B9623D" w:rsidRPr="00DD3E14">
        <w:rPr>
          <w:rFonts w:cstheme="minorHAnsi"/>
          <w:szCs w:val="22"/>
          <w:lang w:val="en-US"/>
        </w:rPr>
        <w:t xml:space="preserve">that approximately 40% of MLTs in Canada </w:t>
      </w:r>
      <w:r w:rsidR="00AD276C" w:rsidRPr="00DD3E14">
        <w:rPr>
          <w:rFonts w:cstheme="minorHAnsi"/>
          <w:szCs w:val="22"/>
          <w:lang w:val="en-US"/>
        </w:rPr>
        <w:t>were</w:t>
      </w:r>
      <w:r w:rsidR="00B9623D" w:rsidRPr="00DD3E14">
        <w:rPr>
          <w:rFonts w:cstheme="minorHAnsi"/>
          <w:szCs w:val="22"/>
          <w:lang w:val="en-US"/>
        </w:rPr>
        <w:t xml:space="preserve"> 50 years of age or older. </w:t>
      </w:r>
      <w:r w:rsidR="0018471C" w:rsidRPr="00DD3E14">
        <w:rPr>
          <w:rFonts w:cstheme="minorHAnsi"/>
          <w:szCs w:val="22"/>
          <w:lang w:val="en-US"/>
        </w:rPr>
        <w:t>In 2010</w:t>
      </w:r>
      <w:r w:rsidR="00AD276C" w:rsidRPr="00DD3E14">
        <w:rPr>
          <w:rFonts w:cstheme="minorHAnsi"/>
          <w:szCs w:val="22"/>
          <w:lang w:val="en-US"/>
        </w:rPr>
        <w:t>,</w:t>
      </w:r>
      <w:r w:rsidR="0018471C" w:rsidRPr="00DD3E14">
        <w:rPr>
          <w:rFonts w:cstheme="minorHAnsi"/>
          <w:szCs w:val="22"/>
          <w:lang w:val="en-US"/>
        </w:rPr>
        <w:t xml:space="preserve"> the Canadian Institute for Health Information (CIHI) identified that </w:t>
      </w:r>
      <w:hyperlink r:id="rId11" w:history="1">
        <w:r w:rsidR="0018471C" w:rsidRPr="00DD3E14">
          <w:rPr>
            <w:rStyle w:val="Hyperlink"/>
            <w:rFonts w:cstheme="minorHAnsi"/>
            <w:szCs w:val="22"/>
            <w:lang w:val="en-US"/>
          </w:rPr>
          <w:t xml:space="preserve">approximately </w:t>
        </w:r>
        <w:r w:rsidR="0018471C" w:rsidRPr="00DD3E14">
          <w:rPr>
            <w:rStyle w:val="Hyperlink"/>
            <w:rFonts w:eastAsia="Rockwell,MinionPro-Regular" w:cstheme="minorHAnsi"/>
            <w:szCs w:val="22"/>
            <w:lang w:val="en-US"/>
          </w:rPr>
          <w:t>half of all MLTs would be eligible to retire in 10 years</w:t>
        </w:r>
      </w:hyperlink>
      <w:r w:rsidR="0018471C" w:rsidRPr="00DD3E14">
        <w:rPr>
          <w:rFonts w:eastAsia="Rockwell,MinionPro-Regular" w:cstheme="minorHAnsi"/>
          <w:szCs w:val="22"/>
          <w:lang w:val="en-US"/>
        </w:rPr>
        <w:t xml:space="preserve">, with the </w:t>
      </w:r>
      <w:r w:rsidR="0018471C" w:rsidRPr="00DD3E14">
        <w:rPr>
          <w:rFonts w:eastAsia="Rockwell,MinionPro-Regular" w:cstheme="minorHAnsi"/>
          <w:b/>
          <w:szCs w:val="22"/>
          <w:lang w:val="en-US"/>
        </w:rPr>
        <w:t>greatest impact felt in Canada’s rural and remote communities</w:t>
      </w:r>
      <w:r w:rsidR="0018471C" w:rsidRPr="00DD3E14">
        <w:rPr>
          <w:rFonts w:eastAsia="Rockwell,MinionPro-Regular" w:cstheme="minorHAnsi"/>
          <w:szCs w:val="22"/>
          <w:lang w:val="en-US"/>
        </w:rPr>
        <w:t xml:space="preserve">. </w:t>
      </w:r>
      <w:r w:rsidR="00B9623D" w:rsidRPr="00DD3E14">
        <w:rPr>
          <w:rFonts w:eastAsia="Rockwell,MinionPro-Regular" w:cstheme="minorHAnsi"/>
          <w:szCs w:val="22"/>
          <w:lang w:val="en-US"/>
        </w:rPr>
        <w:t xml:space="preserve">Data has shown that the </w:t>
      </w:r>
      <w:r w:rsidR="0018471C" w:rsidRPr="00DD3E14">
        <w:rPr>
          <w:rFonts w:eastAsia="Rockwell,MinionPro-Regular" w:cstheme="minorHAnsi"/>
          <w:szCs w:val="22"/>
          <w:lang w:val="en-US"/>
        </w:rPr>
        <w:t>greatest loss within the MLT workforce was associated with those who are 21 to 30 years post-graduation. There was not a corresponding increase in the number of MLTs obtaining certification in any age category.</w:t>
      </w:r>
      <w:r w:rsidR="0018471C" w:rsidRPr="00DD3E14">
        <w:rPr>
          <w:rFonts w:cstheme="minorHAnsi"/>
          <w:szCs w:val="22"/>
          <w:lang w:val="en-US"/>
        </w:rPr>
        <w:t xml:space="preserve"> </w:t>
      </w:r>
    </w:p>
    <w:p w14:paraId="6691CC07" w14:textId="187A577C" w:rsidR="003E5523" w:rsidRPr="00DD3E14" w:rsidRDefault="00AF2E02" w:rsidP="003E5523">
      <w:pPr>
        <w:pStyle w:val="CSMLS-Body"/>
        <w:numPr>
          <w:ilvl w:val="1"/>
          <w:numId w:val="8"/>
        </w:numPr>
        <w:spacing w:after="0" w:line="276" w:lineRule="auto"/>
        <w:rPr>
          <w:rFonts w:cstheme="minorHAnsi"/>
          <w:szCs w:val="22"/>
        </w:rPr>
      </w:pPr>
      <w:r w:rsidRPr="00DD3E14">
        <w:rPr>
          <w:rFonts w:cstheme="minorHAnsi"/>
          <w:szCs w:val="22"/>
          <w:lang w:val="en-US"/>
        </w:rPr>
        <w:t>In 2015, there were 19,</w:t>
      </w:r>
      <w:r w:rsidR="00AD276C" w:rsidRPr="00DD3E14">
        <w:rPr>
          <w:rFonts w:cstheme="minorHAnsi"/>
          <w:szCs w:val="22"/>
          <w:lang w:val="en-US"/>
        </w:rPr>
        <w:t xml:space="preserve"> </w:t>
      </w:r>
      <w:r w:rsidRPr="00DD3E14">
        <w:rPr>
          <w:rFonts w:cstheme="minorHAnsi"/>
          <w:szCs w:val="22"/>
          <w:lang w:val="en-US"/>
        </w:rPr>
        <w:t>840</w:t>
      </w:r>
      <w:r w:rsidR="0018471C" w:rsidRPr="00DD3E14">
        <w:rPr>
          <w:rFonts w:cstheme="minorHAnsi"/>
          <w:szCs w:val="22"/>
          <w:lang w:val="en-US"/>
        </w:rPr>
        <w:t xml:space="preserve"> </w:t>
      </w:r>
      <w:r w:rsidRPr="00DD3E14">
        <w:rPr>
          <w:rFonts w:cstheme="minorHAnsi"/>
          <w:szCs w:val="22"/>
          <w:lang w:val="en-US"/>
        </w:rPr>
        <w:t>MLT</w:t>
      </w:r>
      <w:r w:rsidR="003B1F59" w:rsidRPr="00DD3E14">
        <w:rPr>
          <w:rFonts w:cstheme="minorHAnsi"/>
          <w:szCs w:val="22"/>
          <w:lang w:val="en-US"/>
        </w:rPr>
        <w:t>s</w:t>
      </w:r>
      <w:r w:rsidRPr="00DD3E14">
        <w:rPr>
          <w:rFonts w:cstheme="minorHAnsi"/>
          <w:szCs w:val="22"/>
          <w:lang w:val="en-US"/>
        </w:rPr>
        <w:t xml:space="preserve"> in the </w:t>
      </w:r>
      <w:r w:rsidR="00856711" w:rsidRPr="00DD3E14">
        <w:rPr>
          <w:rFonts w:cstheme="minorHAnsi"/>
          <w:szCs w:val="22"/>
          <w:lang w:val="en-US"/>
        </w:rPr>
        <w:t xml:space="preserve">Canadian </w:t>
      </w:r>
      <w:r w:rsidRPr="00DD3E14">
        <w:rPr>
          <w:rFonts w:cstheme="minorHAnsi"/>
          <w:szCs w:val="22"/>
          <w:lang w:val="en-US"/>
        </w:rPr>
        <w:t>workforce according t</w:t>
      </w:r>
      <w:r w:rsidR="00856711" w:rsidRPr="00DD3E14">
        <w:rPr>
          <w:rFonts w:cstheme="minorHAnsi"/>
          <w:szCs w:val="22"/>
          <w:lang w:val="en-US"/>
        </w:rPr>
        <w:t>o</w:t>
      </w:r>
      <w:r w:rsidRPr="00DD3E14">
        <w:rPr>
          <w:rFonts w:cstheme="minorHAnsi"/>
          <w:szCs w:val="22"/>
          <w:lang w:val="en-US"/>
        </w:rPr>
        <w:t xml:space="preserve"> </w:t>
      </w:r>
      <w:r w:rsidR="00856711" w:rsidRPr="00DD3E14">
        <w:rPr>
          <w:rFonts w:cstheme="minorHAnsi"/>
          <w:szCs w:val="22"/>
          <w:lang w:val="en-US"/>
        </w:rPr>
        <w:t>C</w:t>
      </w:r>
      <w:r w:rsidRPr="00DD3E14">
        <w:rPr>
          <w:rFonts w:cstheme="minorHAnsi"/>
          <w:szCs w:val="22"/>
          <w:lang w:val="en-US"/>
        </w:rPr>
        <w:t>IHI</w:t>
      </w:r>
      <w:r w:rsidR="00856711" w:rsidRPr="00DD3E14">
        <w:rPr>
          <w:rFonts w:cstheme="minorHAnsi"/>
          <w:szCs w:val="22"/>
          <w:lang w:val="en-US"/>
        </w:rPr>
        <w:t xml:space="preserve"> and 5</w:t>
      </w:r>
      <w:r w:rsidR="003559A8" w:rsidRPr="00DD3E14">
        <w:rPr>
          <w:rFonts w:cstheme="minorHAnsi"/>
          <w:szCs w:val="22"/>
          <w:lang w:val="en-US"/>
        </w:rPr>
        <w:t>8</w:t>
      </w:r>
      <w:r w:rsidR="00856711" w:rsidRPr="00DD3E14">
        <w:rPr>
          <w:rFonts w:cstheme="minorHAnsi"/>
          <w:szCs w:val="22"/>
          <w:lang w:val="en-US"/>
        </w:rPr>
        <w:t>6 reaching certification per year (</w:t>
      </w:r>
      <w:r w:rsidR="003559A8" w:rsidRPr="00DD3E14">
        <w:rPr>
          <w:rFonts w:cstheme="minorHAnsi"/>
          <w:szCs w:val="22"/>
          <w:lang w:val="en-US"/>
        </w:rPr>
        <w:t>five</w:t>
      </w:r>
      <w:r w:rsidR="00856711" w:rsidRPr="00DD3E14">
        <w:rPr>
          <w:rFonts w:cstheme="minorHAnsi"/>
          <w:szCs w:val="22"/>
          <w:lang w:val="en-US"/>
        </w:rPr>
        <w:t>-year average)</w:t>
      </w:r>
      <w:r w:rsidRPr="00DD3E14">
        <w:rPr>
          <w:rFonts w:cstheme="minorHAnsi"/>
          <w:szCs w:val="22"/>
          <w:lang w:val="en-US"/>
        </w:rPr>
        <w:t xml:space="preserve">. </w:t>
      </w:r>
      <w:r w:rsidR="00856711" w:rsidRPr="00DD3E14">
        <w:rPr>
          <w:rFonts w:cstheme="minorHAnsi"/>
          <w:szCs w:val="22"/>
          <w:lang w:val="en-US"/>
        </w:rPr>
        <w:t>Using these values as an approximate measure to demonstrate potential HHR shortage impact,</w:t>
      </w:r>
      <w:r w:rsidR="003559A8" w:rsidRPr="00DD3E14">
        <w:rPr>
          <w:rFonts w:cstheme="minorHAnsi"/>
          <w:szCs w:val="22"/>
          <w:lang w:val="en-US"/>
        </w:rPr>
        <w:t xml:space="preserve"> if half of the population were eligible to retire, that would result in 9</w:t>
      </w:r>
      <w:r w:rsidR="00AD276C" w:rsidRPr="00DD3E14">
        <w:rPr>
          <w:rFonts w:cstheme="minorHAnsi"/>
          <w:szCs w:val="22"/>
          <w:lang w:val="en-US"/>
        </w:rPr>
        <w:t xml:space="preserve">, </w:t>
      </w:r>
      <w:r w:rsidR="003559A8" w:rsidRPr="00DD3E14">
        <w:rPr>
          <w:rFonts w:cstheme="minorHAnsi"/>
          <w:szCs w:val="22"/>
          <w:lang w:val="en-US"/>
        </w:rPr>
        <w:t xml:space="preserve">920 MLT positions needing to be replaced. </w:t>
      </w:r>
      <w:r w:rsidR="003559A8" w:rsidRPr="00DD3E14">
        <w:rPr>
          <w:rFonts w:cstheme="minorHAnsi"/>
          <w:b/>
          <w:szCs w:val="22"/>
          <w:lang w:val="en-US"/>
        </w:rPr>
        <w:t>Using a ten-year replacement plan</w:t>
      </w:r>
      <w:r w:rsidR="00E360C1" w:rsidRPr="00DD3E14">
        <w:rPr>
          <w:rFonts w:cstheme="minorHAnsi"/>
          <w:b/>
          <w:szCs w:val="22"/>
          <w:lang w:val="en-US"/>
        </w:rPr>
        <w:t xml:space="preserve"> with all data remaining consistent across time</w:t>
      </w:r>
      <w:r w:rsidR="003559A8" w:rsidRPr="00DD3E14">
        <w:rPr>
          <w:rFonts w:cstheme="minorHAnsi"/>
          <w:b/>
          <w:szCs w:val="22"/>
          <w:lang w:val="en-US"/>
        </w:rPr>
        <w:t>, Canada require</w:t>
      </w:r>
      <w:r w:rsidR="00206D81" w:rsidRPr="00DD3E14">
        <w:rPr>
          <w:rFonts w:cstheme="minorHAnsi"/>
          <w:b/>
          <w:szCs w:val="22"/>
          <w:lang w:val="en-US"/>
        </w:rPr>
        <w:t>s</w:t>
      </w:r>
      <w:r w:rsidR="003559A8" w:rsidRPr="00DD3E14">
        <w:rPr>
          <w:rFonts w:cstheme="minorHAnsi"/>
          <w:b/>
          <w:szCs w:val="22"/>
          <w:lang w:val="en-US"/>
        </w:rPr>
        <w:t xml:space="preserve"> 992 newly CSMLS-certified </w:t>
      </w:r>
      <w:r w:rsidR="000E6EF0" w:rsidRPr="00DD3E14">
        <w:rPr>
          <w:rFonts w:cstheme="minorHAnsi"/>
          <w:b/>
          <w:szCs w:val="22"/>
          <w:lang w:val="en-US"/>
        </w:rPr>
        <w:t xml:space="preserve">MLT </w:t>
      </w:r>
      <w:r w:rsidR="003559A8" w:rsidRPr="00DD3E14">
        <w:rPr>
          <w:rFonts w:cstheme="minorHAnsi"/>
          <w:b/>
          <w:szCs w:val="22"/>
          <w:lang w:val="en-US"/>
        </w:rPr>
        <w:t>graduates per year.</w:t>
      </w:r>
      <w:r w:rsidR="003559A8" w:rsidRPr="00DD3E14">
        <w:rPr>
          <w:rFonts w:cstheme="minorHAnsi"/>
          <w:szCs w:val="22"/>
          <w:lang w:val="en-US"/>
        </w:rPr>
        <w:t xml:space="preserve"> </w:t>
      </w:r>
      <w:r w:rsidR="002F548B" w:rsidRPr="00DD3E14">
        <w:rPr>
          <w:rFonts w:cstheme="minorHAnsi"/>
          <w:szCs w:val="22"/>
          <w:lang w:val="en-US"/>
        </w:rPr>
        <w:t xml:space="preserve">The country only has 59% of the graduates required, meaning that </w:t>
      </w:r>
      <w:r w:rsidR="009A652B" w:rsidRPr="00DD3E14">
        <w:rPr>
          <w:rFonts w:cstheme="minorHAnsi"/>
          <w:b/>
          <w:szCs w:val="22"/>
          <w:lang w:val="en-US"/>
        </w:rPr>
        <w:t xml:space="preserve">approximately </w:t>
      </w:r>
      <w:r w:rsidR="000E6EF0" w:rsidRPr="00DD3E14">
        <w:rPr>
          <w:rFonts w:cstheme="minorHAnsi"/>
          <w:b/>
          <w:szCs w:val="22"/>
          <w:lang w:val="en-US"/>
        </w:rPr>
        <w:t>40</w:t>
      </w:r>
      <w:r w:rsidR="0096027E" w:rsidRPr="00DD3E14">
        <w:rPr>
          <w:rFonts w:cstheme="minorHAnsi"/>
          <w:b/>
          <w:szCs w:val="22"/>
          <w:lang w:val="en-US"/>
        </w:rPr>
        <w:t>0</w:t>
      </w:r>
      <w:r w:rsidR="000E6EF0" w:rsidRPr="00DD3E14">
        <w:rPr>
          <w:rFonts w:cstheme="minorHAnsi"/>
          <w:b/>
          <w:szCs w:val="22"/>
          <w:lang w:val="en-US"/>
        </w:rPr>
        <w:t xml:space="preserve"> </w:t>
      </w:r>
      <w:r w:rsidR="009A652B" w:rsidRPr="00DD3E14">
        <w:rPr>
          <w:rFonts w:cstheme="minorHAnsi"/>
          <w:b/>
          <w:szCs w:val="22"/>
          <w:lang w:val="en-US"/>
        </w:rPr>
        <w:t xml:space="preserve">additional </w:t>
      </w:r>
      <w:r w:rsidR="000E6EF0" w:rsidRPr="00DD3E14">
        <w:rPr>
          <w:rFonts w:cstheme="minorHAnsi"/>
          <w:b/>
          <w:szCs w:val="22"/>
          <w:lang w:val="en-US"/>
        </w:rPr>
        <w:t xml:space="preserve">student seats </w:t>
      </w:r>
      <w:r w:rsidR="003E5523" w:rsidRPr="00DD3E14">
        <w:rPr>
          <w:rFonts w:cstheme="minorHAnsi"/>
          <w:b/>
          <w:szCs w:val="22"/>
          <w:lang w:val="en-US"/>
        </w:rPr>
        <w:t xml:space="preserve">need to be </w:t>
      </w:r>
      <w:r w:rsidR="000E6EF0" w:rsidRPr="00DD3E14">
        <w:rPr>
          <w:rFonts w:cstheme="minorHAnsi"/>
          <w:b/>
          <w:szCs w:val="22"/>
          <w:lang w:val="en-US"/>
        </w:rPr>
        <w:t>created</w:t>
      </w:r>
      <w:r w:rsidR="003559A8" w:rsidRPr="00DD3E14">
        <w:rPr>
          <w:rFonts w:cstheme="minorHAnsi"/>
          <w:b/>
          <w:szCs w:val="22"/>
          <w:lang w:val="en-US"/>
        </w:rPr>
        <w:t xml:space="preserve">. </w:t>
      </w:r>
      <w:r w:rsidR="0096027E" w:rsidRPr="00DD3E14">
        <w:rPr>
          <w:rFonts w:cstheme="minorHAnsi"/>
          <w:szCs w:val="22"/>
          <w:lang w:val="en-US"/>
        </w:rPr>
        <w:t>The majority of these seats should be created early within the 10-year plan.</w:t>
      </w:r>
    </w:p>
    <w:p w14:paraId="3E37FBC0" w14:textId="0E043705" w:rsidR="000E6EF0" w:rsidRPr="00DD3E14" w:rsidRDefault="000E6EF0" w:rsidP="003E5523">
      <w:pPr>
        <w:pStyle w:val="CSMLS-Body"/>
        <w:numPr>
          <w:ilvl w:val="1"/>
          <w:numId w:val="8"/>
        </w:numPr>
        <w:spacing w:after="0" w:line="276" w:lineRule="auto"/>
        <w:rPr>
          <w:rFonts w:cstheme="minorHAnsi"/>
          <w:szCs w:val="22"/>
        </w:rPr>
      </w:pPr>
      <w:r w:rsidRPr="00DD3E14">
        <w:rPr>
          <w:rFonts w:cstheme="minorHAnsi"/>
          <w:szCs w:val="22"/>
        </w:rPr>
        <w:t xml:space="preserve">Based on a five-year average using CIHI data, 10% of MLTs work in rural or remote areas in Canada. Thus, </w:t>
      </w:r>
      <w:r w:rsidR="009A652B" w:rsidRPr="00DD3E14">
        <w:rPr>
          <w:rFonts w:cstheme="minorHAnsi"/>
          <w:szCs w:val="22"/>
        </w:rPr>
        <w:t xml:space="preserve">approximately </w:t>
      </w:r>
      <w:r w:rsidR="00065125" w:rsidRPr="00DD3E14">
        <w:rPr>
          <w:rFonts w:cstheme="minorHAnsi"/>
          <w:szCs w:val="22"/>
        </w:rPr>
        <w:t>100</w:t>
      </w:r>
      <w:r w:rsidRPr="00DD3E14">
        <w:rPr>
          <w:rFonts w:cstheme="minorHAnsi"/>
          <w:szCs w:val="22"/>
        </w:rPr>
        <w:t xml:space="preserve"> of the </w:t>
      </w:r>
      <w:r w:rsidR="00065125" w:rsidRPr="00DD3E14">
        <w:rPr>
          <w:rFonts w:cstheme="minorHAnsi"/>
          <w:szCs w:val="22"/>
        </w:rPr>
        <w:t xml:space="preserve">992 </w:t>
      </w:r>
      <w:r w:rsidRPr="00DD3E14">
        <w:rPr>
          <w:rFonts w:cstheme="minorHAnsi"/>
          <w:szCs w:val="22"/>
        </w:rPr>
        <w:t xml:space="preserve">student seats </w:t>
      </w:r>
      <w:r w:rsidRPr="00DD3E14">
        <w:rPr>
          <w:rFonts w:cstheme="minorHAnsi"/>
          <w:szCs w:val="22"/>
        </w:rPr>
        <w:lastRenderedPageBreak/>
        <w:t>should be focused on rural or remote position expectations.</w:t>
      </w:r>
      <w:r w:rsidRPr="00DD3E14">
        <w:rPr>
          <w:rFonts w:cstheme="minorHAnsi"/>
          <w:b/>
          <w:szCs w:val="22"/>
        </w:rPr>
        <w:t xml:space="preserve"> </w:t>
      </w:r>
      <w:r w:rsidRPr="00DD3E14">
        <w:rPr>
          <w:rFonts w:cstheme="minorHAnsi"/>
          <w:szCs w:val="22"/>
        </w:rPr>
        <w:t xml:space="preserve">Given the </w:t>
      </w:r>
      <w:r w:rsidR="00065125" w:rsidRPr="00DD3E14">
        <w:rPr>
          <w:rFonts w:cstheme="minorHAnsi"/>
          <w:szCs w:val="22"/>
        </w:rPr>
        <w:t xml:space="preserve">HHR shortage impact being felt most in these areas and the general difficulties to </w:t>
      </w:r>
      <w:r w:rsidR="00065125" w:rsidRPr="00DD3E14">
        <w:rPr>
          <w:rFonts w:cstheme="minorHAnsi"/>
          <w:noProof/>
          <w:szCs w:val="22"/>
        </w:rPr>
        <w:t>fulfi</w:t>
      </w:r>
      <w:r w:rsidR="0095435B" w:rsidRPr="00DD3E14">
        <w:rPr>
          <w:rFonts w:cstheme="minorHAnsi"/>
          <w:noProof/>
          <w:szCs w:val="22"/>
        </w:rPr>
        <w:t>l</w:t>
      </w:r>
      <w:r w:rsidR="00065125" w:rsidRPr="00DD3E14">
        <w:rPr>
          <w:rFonts w:cstheme="minorHAnsi"/>
          <w:noProof/>
          <w:szCs w:val="22"/>
        </w:rPr>
        <w:t>l</w:t>
      </w:r>
      <w:r w:rsidR="00065125" w:rsidRPr="00DD3E14">
        <w:rPr>
          <w:rFonts w:cstheme="minorHAnsi"/>
          <w:szCs w:val="22"/>
        </w:rPr>
        <w:t xml:space="preserve"> such positions,</w:t>
      </w:r>
      <w:r w:rsidR="00065125" w:rsidRPr="00DD3E14">
        <w:rPr>
          <w:rFonts w:cstheme="minorHAnsi"/>
          <w:b/>
          <w:szCs w:val="22"/>
        </w:rPr>
        <w:t xml:space="preserve"> CSMLS recommends at least 20% of the student seats (</w:t>
      </w:r>
      <w:r w:rsidR="009A652B" w:rsidRPr="00DD3E14">
        <w:rPr>
          <w:rFonts w:cstheme="minorHAnsi"/>
          <w:b/>
          <w:szCs w:val="22"/>
        </w:rPr>
        <w:t>200</w:t>
      </w:r>
      <w:r w:rsidR="00065125" w:rsidRPr="00DD3E14">
        <w:rPr>
          <w:rFonts w:cstheme="minorHAnsi"/>
          <w:b/>
          <w:szCs w:val="22"/>
        </w:rPr>
        <w:t>) should have expectations of rural or remote positions</w:t>
      </w:r>
      <w:r w:rsidR="00AD276C" w:rsidRPr="00DD3E14">
        <w:rPr>
          <w:rFonts w:cstheme="minorHAnsi"/>
          <w:szCs w:val="22"/>
        </w:rPr>
        <w:t xml:space="preserve">, </w:t>
      </w:r>
      <w:r w:rsidR="002E4126" w:rsidRPr="00DD3E14">
        <w:rPr>
          <w:rFonts w:cstheme="minorHAnsi"/>
          <w:b/>
          <w:szCs w:val="22"/>
        </w:rPr>
        <w:t>including long-distance relocation for work</w:t>
      </w:r>
      <w:r w:rsidR="00065125" w:rsidRPr="00DD3E14">
        <w:rPr>
          <w:rFonts w:cstheme="minorHAnsi"/>
          <w:b/>
          <w:szCs w:val="22"/>
        </w:rPr>
        <w:t>, regardless of the province in which they are trained.</w:t>
      </w:r>
      <w:r w:rsidR="00E360C1" w:rsidRPr="00DD3E14">
        <w:rPr>
          <w:rFonts w:cstheme="minorHAnsi"/>
          <w:b/>
          <w:szCs w:val="22"/>
        </w:rPr>
        <w:t xml:space="preserve"> </w:t>
      </w:r>
    </w:p>
    <w:p w14:paraId="066D9910" w14:textId="39EEF82A" w:rsidR="007252B0" w:rsidRDefault="007252B0" w:rsidP="003E5523">
      <w:pPr>
        <w:pStyle w:val="CSMLS-Body"/>
        <w:numPr>
          <w:ilvl w:val="1"/>
          <w:numId w:val="8"/>
        </w:numPr>
        <w:spacing w:after="0" w:line="276" w:lineRule="auto"/>
        <w:rPr>
          <w:rFonts w:cstheme="minorHAnsi"/>
          <w:szCs w:val="22"/>
        </w:rPr>
      </w:pPr>
      <w:r w:rsidRPr="00DD3E14">
        <w:rPr>
          <w:rFonts w:cstheme="minorHAnsi"/>
          <w:szCs w:val="22"/>
        </w:rPr>
        <w:t xml:space="preserve">At the time of the </w:t>
      </w:r>
      <w:r w:rsidR="009A652B" w:rsidRPr="00DD3E14">
        <w:rPr>
          <w:rFonts w:cstheme="minorHAnsi"/>
          <w:szCs w:val="22"/>
        </w:rPr>
        <w:t>e</w:t>
      </w:r>
      <w:r w:rsidRPr="00DD3E14">
        <w:rPr>
          <w:rFonts w:cstheme="minorHAnsi"/>
          <w:szCs w:val="22"/>
        </w:rPr>
        <w:t>nvironment</w:t>
      </w:r>
      <w:r w:rsidR="009A652B" w:rsidRPr="00DD3E14">
        <w:rPr>
          <w:rFonts w:cstheme="minorHAnsi"/>
          <w:szCs w:val="22"/>
        </w:rPr>
        <w:t>al</w:t>
      </w:r>
      <w:r w:rsidRPr="00DD3E14">
        <w:rPr>
          <w:rFonts w:cstheme="minorHAnsi"/>
          <w:szCs w:val="22"/>
        </w:rPr>
        <w:t xml:space="preserve"> scan of academic programs in 2016, only two MLT programs had plans to increase student seats in the future.</w:t>
      </w:r>
    </w:p>
    <w:p w14:paraId="1FB3468A" w14:textId="77777777" w:rsidR="00DD3E14" w:rsidRPr="00DD3E14" w:rsidRDefault="00DD3E14" w:rsidP="00DD3E14">
      <w:pPr>
        <w:pStyle w:val="CSMLS-Body"/>
        <w:spacing w:after="0" w:line="276" w:lineRule="auto"/>
        <w:ind w:left="1440"/>
        <w:rPr>
          <w:rFonts w:cstheme="minorHAnsi"/>
          <w:szCs w:val="22"/>
        </w:rPr>
      </w:pPr>
    </w:p>
    <w:p w14:paraId="772FF58C" w14:textId="52BF63BA" w:rsidR="003E5523" w:rsidRPr="00DD3E14" w:rsidRDefault="003E5523" w:rsidP="003E5523">
      <w:pPr>
        <w:pStyle w:val="ListParagraph"/>
        <w:numPr>
          <w:ilvl w:val="0"/>
          <w:numId w:val="8"/>
        </w:numPr>
        <w:rPr>
          <w:rFonts w:ascii="Rockwell" w:hAnsi="Rockwell"/>
        </w:rPr>
      </w:pPr>
      <w:r w:rsidRPr="00DD3E14">
        <w:rPr>
          <w:rFonts w:ascii="Rockwell" w:hAnsi="Rockwell"/>
        </w:rPr>
        <w:t>Student training is impacted by the HHR shortage</w:t>
      </w:r>
      <w:r w:rsidR="00AE19EE" w:rsidRPr="00DD3E14">
        <w:rPr>
          <w:rFonts w:ascii="Rockwell" w:hAnsi="Rockwell"/>
        </w:rPr>
        <w:t>,</w:t>
      </w:r>
      <w:r w:rsidRPr="00DD3E14">
        <w:rPr>
          <w:rFonts w:ascii="Rockwell" w:hAnsi="Rockwell"/>
        </w:rPr>
        <w:t xml:space="preserve"> and there is a recognized change in training quality. </w:t>
      </w:r>
    </w:p>
    <w:p w14:paraId="05EBFA1E" w14:textId="77777777" w:rsidR="003E5523" w:rsidRPr="00DD3E14" w:rsidRDefault="003E5523" w:rsidP="003E5523">
      <w:pPr>
        <w:pStyle w:val="ListParagraph"/>
        <w:numPr>
          <w:ilvl w:val="1"/>
          <w:numId w:val="8"/>
        </w:numPr>
        <w:rPr>
          <w:rFonts w:ascii="Rockwell" w:hAnsi="Rockwell"/>
        </w:rPr>
      </w:pPr>
      <w:r w:rsidRPr="00DD3E14">
        <w:rPr>
          <w:rFonts w:ascii="Rockwell" w:hAnsi="Rockwell"/>
        </w:rPr>
        <w:t xml:space="preserve">A </w:t>
      </w:r>
      <w:hyperlink r:id="rId12" w:history="1">
        <w:r w:rsidRPr="00DD3E14">
          <w:rPr>
            <w:rStyle w:val="Hyperlink"/>
            <w:rFonts w:ascii="Rockwell" w:hAnsi="Rockwell"/>
          </w:rPr>
          <w:t>survey of recent graduates</w:t>
        </w:r>
      </w:hyperlink>
      <w:r w:rsidRPr="00DD3E14">
        <w:rPr>
          <w:rFonts w:ascii="Rockwell" w:hAnsi="Rockwell"/>
        </w:rPr>
        <w:t xml:space="preserve"> identified a qualitative theme of HHR shortage as impacting student training during clinical placement as well as the safety domain as their main concern for dissatisfaction.</w:t>
      </w:r>
    </w:p>
    <w:p w14:paraId="48E706EC" w14:textId="3BA5E976" w:rsidR="003E5523" w:rsidRDefault="003E5523" w:rsidP="003E5523">
      <w:pPr>
        <w:pStyle w:val="ListParagraph"/>
        <w:numPr>
          <w:ilvl w:val="1"/>
          <w:numId w:val="8"/>
        </w:numPr>
        <w:rPr>
          <w:rFonts w:ascii="Rockwell" w:hAnsi="Rockwell"/>
        </w:rPr>
      </w:pPr>
      <w:r w:rsidRPr="00DD3E14">
        <w:rPr>
          <w:rFonts w:ascii="Rockwell" w:hAnsi="Rockwell"/>
        </w:rPr>
        <w:t>Verification from educators and employer representatives across Canada on this topic was obtained at the Forums (2016 and 2017).</w:t>
      </w:r>
    </w:p>
    <w:p w14:paraId="66FA18B9" w14:textId="77777777" w:rsidR="00DD3E14" w:rsidRPr="00DD3E14" w:rsidRDefault="00DD3E14" w:rsidP="00DD3E14">
      <w:pPr>
        <w:pStyle w:val="ListParagraph"/>
        <w:ind w:left="1440"/>
        <w:rPr>
          <w:rFonts w:ascii="Rockwell" w:hAnsi="Rockwell"/>
        </w:rPr>
      </w:pPr>
    </w:p>
    <w:p w14:paraId="2061775F" w14:textId="1724BBEE" w:rsidR="00F91DD3" w:rsidRPr="00DD3E14" w:rsidRDefault="00F91DD3" w:rsidP="00F91DD3">
      <w:pPr>
        <w:pStyle w:val="ListParagraph"/>
        <w:numPr>
          <w:ilvl w:val="0"/>
          <w:numId w:val="8"/>
        </w:numPr>
        <w:rPr>
          <w:rFonts w:ascii="Rockwell" w:hAnsi="Rockwell"/>
        </w:rPr>
      </w:pPr>
      <w:r w:rsidRPr="00DD3E14">
        <w:rPr>
          <w:rFonts w:ascii="Rockwell" w:hAnsi="Rockwell" w:cstheme="minorHAnsi"/>
        </w:rPr>
        <w:t xml:space="preserve">The number of laboratory sites receiving clinical placement students </w:t>
      </w:r>
      <w:r w:rsidR="00FF1019" w:rsidRPr="00DD3E14">
        <w:rPr>
          <w:rFonts w:ascii="Rockwell" w:hAnsi="Rockwell" w:cstheme="minorHAnsi"/>
          <w:noProof/>
        </w:rPr>
        <w:t>is</w:t>
      </w:r>
      <w:r w:rsidRPr="00DD3E14">
        <w:rPr>
          <w:rFonts w:ascii="Rockwell" w:hAnsi="Rockwell" w:cstheme="minorHAnsi"/>
        </w:rPr>
        <w:t xml:space="preserve"> decreasing. This is </w:t>
      </w:r>
      <w:r w:rsidR="00D64703" w:rsidRPr="00DD3E14">
        <w:rPr>
          <w:rFonts w:ascii="Rockwell" w:hAnsi="Rockwell" w:cstheme="minorHAnsi"/>
        </w:rPr>
        <w:t xml:space="preserve">increasing the </w:t>
      </w:r>
      <w:r w:rsidRPr="00DD3E14">
        <w:rPr>
          <w:rFonts w:ascii="Rockwell" w:hAnsi="Rockwell" w:cstheme="minorHAnsi"/>
        </w:rPr>
        <w:t xml:space="preserve">burden on </w:t>
      </w:r>
      <w:r w:rsidR="00D64703" w:rsidRPr="00DD3E14">
        <w:rPr>
          <w:rFonts w:ascii="Rockwell" w:hAnsi="Rockwell" w:cstheme="minorHAnsi"/>
        </w:rPr>
        <w:t xml:space="preserve">the remaining </w:t>
      </w:r>
      <w:r w:rsidRPr="00DD3E14">
        <w:rPr>
          <w:rFonts w:ascii="Rockwell" w:hAnsi="Rockwell" w:cstheme="minorHAnsi"/>
        </w:rPr>
        <w:t xml:space="preserve">clinical sites to uphold the high standard of quality training required </w:t>
      </w:r>
      <w:r w:rsidR="00D64703" w:rsidRPr="00DD3E14">
        <w:rPr>
          <w:rFonts w:ascii="Rockwell" w:hAnsi="Rockwell" w:cstheme="minorHAnsi"/>
        </w:rPr>
        <w:t xml:space="preserve">by medical laboratory </w:t>
      </w:r>
      <w:r w:rsidRPr="00DD3E14">
        <w:rPr>
          <w:rFonts w:ascii="Rockwell" w:hAnsi="Rockwell" w:cstheme="minorHAnsi"/>
        </w:rPr>
        <w:t>students</w:t>
      </w:r>
      <w:r w:rsidRPr="00DD3E14">
        <w:rPr>
          <w:rFonts w:ascii="Rockwell" w:hAnsi="Rockwell"/>
        </w:rPr>
        <w:t xml:space="preserve"> to achieve competency</w:t>
      </w:r>
      <w:r w:rsidR="00D64703" w:rsidRPr="00DD3E14">
        <w:rPr>
          <w:rFonts w:ascii="Rockwell" w:hAnsi="Rockwell"/>
        </w:rPr>
        <w:t xml:space="preserve"> (MLA and MLT)</w:t>
      </w:r>
      <w:r w:rsidRPr="00DD3E14">
        <w:rPr>
          <w:rFonts w:ascii="Rockwell" w:hAnsi="Rockwell"/>
        </w:rPr>
        <w:t>.</w:t>
      </w:r>
      <w:r w:rsidR="00D64703" w:rsidRPr="00DD3E14">
        <w:rPr>
          <w:rFonts w:ascii="Rockwell" w:hAnsi="Rockwell"/>
        </w:rPr>
        <w:t xml:space="preserve"> Academic programs require a clinical placement site and reserved spot prior to admitting a student, creating a system bottleneck. </w:t>
      </w:r>
    </w:p>
    <w:p w14:paraId="3492E914" w14:textId="23936EA4" w:rsidR="00E360C1" w:rsidRDefault="00E360C1" w:rsidP="00E360C1">
      <w:pPr>
        <w:pStyle w:val="ListParagraph"/>
        <w:numPr>
          <w:ilvl w:val="1"/>
          <w:numId w:val="8"/>
        </w:numPr>
        <w:rPr>
          <w:rFonts w:ascii="Rockwell" w:hAnsi="Rockwell"/>
        </w:rPr>
      </w:pPr>
      <w:r w:rsidRPr="00DD3E14">
        <w:rPr>
          <w:rFonts w:ascii="Rockwell" w:hAnsi="Rockwell"/>
        </w:rPr>
        <w:t xml:space="preserve">A </w:t>
      </w:r>
      <w:hyperlink r:id="rId13" w:history="1">
        <w:r w:rsidRPr="00DD3E14">
          <w:rPr>
            <w:rStyle w:val="Hyperlink"/>
            <w:rFonts w:ascii="Rockwell" w:hAnsi="Rockwell"/>
          </w:rPr>
          <w:t>major theme</w:t>
        </w:r>
      </w:hyperlink>
      <w:r w:rsidRPr="00DD3E14">
        <w:rPr>
          <w:rFonts w:ascii="Rockwell" w:hAnsi="Rockwell"/>
        </w:rPr>
        <w:t xml:space="preserve"> through the environmental scan of academic programs, national discussions at the Educator and Employer Forums (2016 and 2017) and recent graduate survey (see CSMLS website for report) revealed a consistent message of burden by major stakeholder groups.</w:t>
      </w:r>
    </w:p>
    <w:p w14:paraId="6A083F99" w14:textId="77777777" w:rsidR="00DD3E14" w:rsidRPr="00DD3E14" w:rsidRDefault="00DD3E14" w:rsidP="00DD3E14">
      <w:pPr>
        <w:pStyle w:val="ListParagraph"/>
        <w:ind w:left="1440"/>
        <w:rPr>
          <w:rFonts w:ascii="Rockwell" w:hAnsi="Rockwell"/>
        </w:rPr>
      </w:pPr>
    </w:p>
    <w:p w14:paraId="665BA677" w14:textId="0864AE14" w:rsidR="00011B70" w:rsidRPr="00DD3E14" w:rsidRDefault="00387FC9" w:rsidP="00387FC9">
      <w:pPr>
        <w:pStyle w:val="ListParagraph"/>
        <w:numPr>
          <w:ilvl w:val="0"/>
          <w:numId w:val="8"/>
        </w:numPr>
        <w:rPr>
          <w:rFonts w:ascii="Rockwell" w:hAnsi="Rockwell"/>
        </w:rPr>
      </w:pPr>
      <w:r w:rsidRPr="00DD3E14">
        <w:rPr>
          <w:rFonts w:ascii="Rockwell" w:hAnsi="Rockwell"/>
        </w:rPr>
        <w:t>A</w:t>
      </w:r>
      <w:r w:rsidR="002A5334" w:rsidRPr="00DD3E14">
        <w:rPr>
          <w:rFonts w:ascii="Rockwell" w:hAnsi="Rockwell"/>
        </w:rPr>
        <w:t>cademic</w:t>
      </w:r>
      <w:r w:rsidR="00011B70" w:rsidRPr="00DD3E14">
        <w:rPr>
          <w:rFonts w:ascii="Rockwell" w:hAnsi="Rockwell"/>
        </w:rPr>
        <w:t xml:space="preserve"> programs </w:t>
      </w:r>
      <w:r w:rsidRPr="00DD3E14">
        <w:rPr>
          <w:rFonts w:ascii="Rockwell" w:hAnsi="Rockwell"/>
        </w:rPr>
        <w:t xml:space="preserve">and clinical sites are willing to investigate and create </w:t>
      </w:r>
      <w:r w:rsidR="00011B70" w:rsidRPr="00DD3E14">
        <w:rPr>
          <w:rFonts w:ascii="Rockwell" w:hAnsi="Rockwell"/>
        </w:rPr>
        <w:t xml:space="preserve">new </w:t>
      </w:r>
      <w:r w:rsidRPr="00DD3E14">
        <w:rPr>
          <w:rFonts w:ascii="Rockwell" w:hAnsi="Rockwell"/>
        </w:rPr>
        <w:t xml:space="preserve">education and clinical placement </w:t>
      </w:r>
      <w:r w:rsidR="00011B70" w:rsidRPr="00DD3E14">
        <w:rPr>
          <w:rFonts w:ascii="Rockwell" w:hAnsi="Rockwell"/>
        </w:rPr>
        <w:t xml:space="preserve">models to </w:t>
      </w:r>
      <w:r w:rsidRPr="00DD3E14">
        <w:rPr>
          <w:rFonts w:ascii="Rockwell" w:hAnsi="Rockwell"/>
        </w:rPr>
        <w:t xml:space="preserve">accommodate </w:t>
      </w:r>
      <w:r w:rsidR="00011B70" w:rsidRPr="00DD3E14">
        <w:rPr>
          <w:rFonts w:ascii="Rockwell" w:hAnsi="Rockwell"/>
        </w:rPr>
        <w:t>clinical needs</w:t>
      </w:r>
      <w:r w:rsidRPr="00DD3E14">
        <w:rPr>
          <w:rFonts w:ascii="Rockwell" w:hAnsi="Rockwell"/>
        </w:rPr>
        <w:t>.</w:t>
      </w:r>
    </w:p>
    <w:p w14:paraId="5605C383" w14:textId="4D68EF44" w:rsidR="00387FC9" w:rsidRPr="00DD3E14" w:rsidRDefault="00C74716" w:rsidP="00C74716">
      <w:pPr>
        <w:pStyle w:val="ListParagraph"/>
        <w:numPr>
          <w:ilvl w:val="1"/>
          <w:numId w:val="8"/>
        </w:numPr>
        <w:rPr>
          <w:rFonts w:ascii="Rockwell" w:hAnsi="Rockwell"/>
        </w:rPr>
      </w:pPr>
      <w:r w:rsidRPr="00DD3E14">
        <w:rPr>
          <w:rFonts w:ascii="Rockwell" w:hAnsi="Rockwell"/>
        </w:rPr>
        <w:t>Verification from educators and employer representatives across Canada on this topic was obtained at the Forums (2016 and 2017) as well as through the Simulation Knowledge Exchange – Research Network.</w:t>
      </w:r>
    </w:p>
    <w:p w14:paraId="4DAFD539" w14:textId="1CDDCE7A" w:rsidR="00355E02" w:rsidRPr="00DD3E14" w:rsidRDefault="00C31A65" w:rsidP="00C74716">
      <w:pPr>
        <w:pStyle w:val="ListParagraph"/>
        <w:numPr>
          <w:ilvl w:val="1"/>
          <w:numId w:val="8"/>
        </w:numPr>
        <w:rPr>
          <w:rFonts w:ascii="Rockwell" w:hAnsi="Rockwell"/>
        </w:rPr>
      </w:pPr>
      <w:r w:rsidRPr="00DD3E14">
        <w:rPr>
          <w:rFonts w:ascii="Rockwell" w:hAnsi="Rockwell"/>
          <w:b/>
        </w:rPr>
        <w:t>During the 2015/2016 academic year, a</w:t>
      </w:r>
      <w:r w:rsidR="00355E02" w:rsidRPr="00DD3E14">
        <w:rPr>
          <w:rFonts w:ascii="Rockwell" w:hAnsi="Rockwell"/>
          <w:b/>
        </w:rPr>
        <w:t xml:space="preserve">pproximately half of Canadian MLT accredited programs </w:t>
      </w:r>
      <w:r w:rsidRPr="00DD3E14">
        <w:rPr>
          <w:rFonts w:ascii="Rockwell" w:hAnsi="Rockwell"/>
          <w:b/>
        </w:rPr>
        <w:t xml:space="preserve">utilized </w:t>
      </w:r>
      <w:r w:rsidR="00355E02" w:rsidRPr="00DD3E14">
        <w:rPr>
          <w:rFonts w:ascii="Rockwell" w:hAnsi="Rockwell"/>
          <w:b/>
        </w:rPr>
        <w:t>less than 1</w:t>
      </w:r>
      <w:r w:rsidR="00AE19EE" w:rsidRPr="00DD3E14">
        <w:rPr>
          <w:rFonts w:ascii="Rockwell" w:hAnsi="Rockwell"/>
          <w:b/>
        </w:rPr>
        <w:t xml:space="preserve">, </w:t>
      </w:r>
      <w:r w:rsidR="00355E02" w:rsidRPr="00DD3E14">
        <w:rPr>
          <w:rFonts w:ascii="Rockwell" w:hAnsi="Rockwell"/>
          <w:b/>
        </w:rPr>
        <w:t xml:space="preserve">225 student hours for clinical placement training, </w:t>
      </w:r>
      <w:r w:rsidR="00355E02" w:rsidRPr="00DD3E14">
        <w:rPr>
          <w:rFonts w:ascii="Rockwell" w:hAnsi="Rockwell"/>
        </w:rPr>
        <w:t>offering half of MLT programs a chance to evaluate</w:t>
      </w:r>
      <w:r w:rsidR="00355E02" w:rsidRPr="00DD3E14">
        <w:rPr>
          <w:rFonts w:ascii="Rockwell" w:hAnsi="Rockwell"/>
          <w:b/>
        </w:rPr>
        <w:t xml:space="preserve"> </w:t>
      </w:r>
      <w:r w:rsidR="00355E02" w:rsidRPr="00DD3E14">
        <w:rPr>
          <w:rFonts w:ascii="Rockwell" w:hAnsi="Rockwell"/>
        </w:rPr>
        <w:t>clinical hour reductions against a norm while challenging the remaining programs to look for further optimization.</w:t>
      </w:r>
      <w:r w:rsidR="00F77FE2" w:rsidRPr="00DD3E14">
        <w:rPr>
          <w:rFonts w:ascii="Rockwell" w:hAnsi="Rockwell"/>
        </w:rPr>
        <w:t xml:space="preserve"> Considerations for balancing program p</w:t>
      </w:r>
      <w:r w:rsidR="00AE19EE" w:rsidRPr="00DD3E14">
        <w:rPr>
          <w:rFonts w:ascii="Rockwell" w:hAnsi="Rockwell"/>
        </w:rPr>
        <w:t>rere</w:t>
      </w:r>
      <w:r w:rsidR="00F77FE2" w:rsidRPr="00DD3E14">
        <w:rPr>
          <w:rFonts w:ascii="Rockwell" w:hAnsi="Rockwell"/>
        </w:rPr>
        <w:t xml:space="preserve">quisites and didactic hours against clinical placement hours </w:t>
      </w:r>
      <w:r w:rsidR="00AE19EE" w:rsidRPr="00DD3E14">
        <w:rPr>
          <w:rFonts w:ascii="Rockwell" w:hAnsi="Rockwell"/>
        </w:rPr>
        <w:t>are</w:t>
      </w:r>
      <w:r w:rsidR="00F77FE2" w:rsidRPr="00DD3E14">
        <w:rPr>
          <w:rFonts w:ascii="Rockwell" w:hAnsi="Rockwell"/>
        </w:rPr>
        <w:t xml:space="preserve"> vital in the evaluation process.</w:t>
      </w:r>
    </w:p>
    <w:p w14:paraId="562FAFE1" w14:textId="10AAE7CB" w:rsidR="00387FC9" w:rsidRPr="00DD3E14" w:rsidRDefault="00AE19EE" w:rsidP="00387FC9">
      <w:pPr>
        <w:pStyle w:val="ListParagraph"/>
        <w:numPr>
          <w:ilvl w:val="0"/>
          <w:numId w:val="8"/>
        </w:numPr>
        <w:rPr>
          <w:rFonts w:ascii="Rockwell" w:hAnsi="Rockwell"/>
        </w:rPr>
      </w:pPr>
      <w:r w:rsidRPr="00DD3E14">
        <w:rPr>
          <w:rFonts w:ascii="Rockwell" w:hAnsi="Rockwell"/>
        </w:rPr>
        <w:t>S</w:t>
      </w:r>
      <w:r w:rsidR="00387FC9" w:rsidRPr="00DD3E14">
        <w:rPr>
          <w:rFonts w:ascii="Rockwell" w:hAnsi="Rockwell"/>
        </w:rPr>
        <w:t xml:space="preserve">upport for academic programs and clinical sites to create the </w:t>
      </w:r>
      <w:r w:rsidR="0087694A" w:rsidRPr="00DD3E14">
        <w:rPr>
          <w:rFonts w:ascii="Rockwell" w:hAnsi="Rockwell"/>
        </w:rPr>
        <w:t xml:space="preserve">necessary </w:t>
      </w:r>
      <w:r w:rsidR="00387FC9" w:rsidRPr="00DD3E14">
        <w:rPr>
          <w:rFonts w:ascii="Rockwell" w:hAnsi="Rockwell"/>
        </w:rPr>
        <w:t>change requires</w:t>
      </w:r>
      <w:r w:rsidRPr="00DD3E14">
        <w:rPr>
          <w:rFonts w:ascii="Rockwell" w:hAnsi="Rockwell"/>
        </w:rPr>
        <w:t xml:space="preserve"> </w:t>
      </w:r>
      <w:r w:rsidR="00387FC9" w:rsidRPr="00DD3E14">
        <w:rPr>
          <w:rFonts w:ascii="Rockwell" w:hAnsi="Rockwell"/>
        </w:rPr>
        <w:t xml:space="preserve">infrastructure </w:t>
      </w:r>
      <w:r w:rsidR="00387FC9" w:rsidRPr="00DD3E14">
        <w:rPr>
          <w:rFonts w:ascii="Rockwell" w:hAnsi="Rockwell"/>
          <w:noProof/>
        </w:rPr>
        <w:t>and</w:t>
      </w:r>
      <w:r w:rsidR="00387FC9" w:rsidRPr="00DD3E14">
        <w:rPr>
          <w:rFonts w:ascii="Rockwell" w:hAnsi="Rockwell"/>
        </w:rPr>
        <w:t xml:space="preserve"> resources from staff and administration. This is difficult given the current </w:t>
      </w:r>
      <w:r w:rsidR="00387FC9" w:rsidRPr="00DD3E14">
        <w:rPr>
          <w:rFonts w:ascii="Rockwell" w:hAnsi="Rockwell"/>
          <w:noProof/>
        </w:rPr>
        <w:t>fi</w:t>
      </w:r>
      <w:r w:rsidR="0050002F" w:rsidRPr="00DD3E14">
        <w:rPr>
          <w:rFonts w:ascii="Rockwell" w:hAnsi="Rockwell"/>
          <w:noProof/>
        </w:rPr>
        <w:t>nanci</w:t>
      </w:r>
      <w:r w:rsidR="00387FC9" w:rsidRPr="00DD3E14">
        <w:rPr>
          <w:rFonts w:ascii="Rockwell" w:hAnsi="Rockwell"/>
          <w:noProof/>
        </w:rPr>
        <w:t>al</w:t>
      </w:r>
      <w:r w:rsidR="00387FC9" w:rsidRPr="00DD3E14">
        <w:rPr>
          <w:rFonts w:ascii="Rockwell" w:hAnsi="Rockwell"/>
        </w:rPr>
        <w:t xml:space="preserve"> recession within </w:t>
      </w:r>
      <w:r w:rsidR="0050002F" w:rsidRPr="00DD3E14">
        <w:rPr>
          <w:rFonts w:ascii="Rockwell" w:hAnsi="Rockwell"/>
        </w:rPr>
        <w:t xml:space="preserve">many </w:t>
      </w:r>
      <w:r w:rsidR="00387FC9" w:rsidRPr="00DD3E14">
        <w:rPr>
          <w:rFonts w:ascii="Rockwell" w:hAnsi="Rockwell"/>
        </w:rPr>
        <w:t xml:space="preserve">education and health sectors. </w:t>
      </w:r>
    </w:p>
    <w:p w14:paraId="1E9C640A" w14:textId="77777777" w:rsidR="00C74716" w:rsidRPr="00DD3E14" w:rsidRDefault="00C74716" w:rsidP="00C74716">
      <w:pPr>
        <w:pStyle w:val="ListParagraph"/>
        <w:numPr>
          <w:ilvl w:val="1"/>
          <w:numId w:val="8"/>
        </w:numPr>
        <w:rPr>
          <w:rFonts w:ascii="Rockwell" w:hAnsi="Rockwell"/>
        </w:rPr>
      </w:pPr>
      <w:r w:rsidRPr="00DD3E14">
        <w:rPr>
          <w:rFonts w:ascii="Rockwell" w:hAnsi="Rockwell"/>
        </w:rPr>
        <w:lastRenderedPageBreak/>
        <w:t>Verification from educators and employer representatives across Canada on this topic was obtained at the Forums (2016 and 2017) as well as through the Simulation Knowledge Exchange – Research Network.</w:t>
      </w:r>
    </w:p>
    <w:p w14:paraId="788D51E5" w14:textId="728C34EF" w:rsidR="000505A8" w:rsidRPr="00DD3E14" w:rsidRDefault="000505A8" w:rsidP="000A1DB5">
      <w:pPr>
        <w:pStyle w:val="CSMLS-Body"/>
        <w:rPr>
          <w:b/>
          <w:color w:val="FF0000"/>
          <w:szCs w:val="22"/>
        </w:rPr>
      </w:pPr>
      <w:r w:rsidRPr="00DD3E14">
        <w:rPr>
          <w:b/>
          <w:szCs w:val="22"/>
        </w:rPr>
        <w:t>Call to Action:</w:t>
      </w:r>
      <w:r w:rsidRPr="00DD3E14">
        <w:rPr>
          <w:b/>
          <w:color w:val="FF0000"/>
          <w:szCs w:val="22"/>
        </w:rPr>
        <w:t xml:space="preserve"> </w:t>
      </w:r>
    </w:p>
    <w:p w14:paraId="1485E67B" w14:textId="7D97DD7F" w:rsidR="001833DD" w:rsidRPr="00DD3E14" w:rsidRDefault="00C74716" w:rsidP="001833DD">
      <w:pPr>
        <w:rPr>
          <w:rFonts w:ascii="Rockwell" w:hAnsi="Rockwell"/>
        </w:rPr>
      </w:pPr>
      <w:r w:rsidRPr="00DD3E14">
        <w:rPr>
          <w:rFonts w:ascii="Rockwell" w:hAnsi="Rockwell"/>
        </w:rPr>
        <w:t>T</w:t>
      </w:r>
      <w:r w:rsidR="001833DD" w:rsidRPr="00DD3E14">
        <w:rPr>
          <w:rFonts w:ascii="Rockwell" w:hAnsi="Rockwell"/>
        </w:rPr>
        <w:t>he HHR shortage associated with MLTs</w:t>
      </w:r>
      <w:r w:rsidRPr="00DD3E14">
        <w:rPr>
          <w:rFonts w:ascii="Rockwell" w:hAnsi="Rockwell"/>
        </w:rPr>
        <w:t xml:space="preserve"> is at a transformative tipping point</w:t>
      </w:r>
      <w:r w:rsidR="001833DD" w:rsidRPr="00DD3E14">
        <w:rPr>
          <w:rFonts w:ascii="Rockwell" w:hAnsi="Rockwell"/>
        </w:rPr>
        <w:t xml:space="preserve">. At CSMLS, we believe that an intensified effort by Canada’s medical laboratory stakeholders can push the agenda forward into real and meaningful change. </w:t>
      </w:r>
    </w:p>
    <w:p w14:paraId="19EBA82A" w14:textId="078B2068" w:rsidR="001833DD" w:rsidRPr="00DD3E14" w:rsidRDefault="001833DD" w:rsidP="000505A8">
      <w:pPr>
        <w:rPr>
          <w:rFonts w:ascii="Rockwell" w:hAnsi="Rockwell"/>
        </w:rPr>
      </w:pPr>
      <w:r w:rsidRPr="00DD3E14">
        <w:rPr>
          <w:rFonts w:ascii="Rockwell" w:hAnsi="Rockwell"/>
        </w:rPr>
        <w:t>Meeting the laboratory testing needs of Canadians</w:t>
      </w:r>
      <w:r w:rsidR="000A1DB5" w:rsidRPr="00DD3E14">
        <w:rPr>
          <w:rFonts w:ascii="Rockwell" w:hAnsi="Rockwell"/>
        </w:rPr>
        <w:t xml:space="preserve"> while fixing the </w:t>
      </w:r>
      <w:r w:rsidR="007252B0" w:rsidRPr="00DD3E14">
        <w:rPr>
          <w:rFonts w:ascii="Rockwell" w:hAnsi="Rockwell"/>
        </w:rPr>
        <w:t>MLT</w:t>
      </w:r>
      <w:r w:rsidR="000A1DB5" w:rsidRPr="00DD3E14">
        <w:rPr>
          <w:rFonts w:ascii="Rockwell" w:hAnsi="Rockwell"/>
        </w:rPr>
        <w:t xml:space="preserve"> shortage </w:t>
      </w:r>
      <w:r w:rsidRPr="00DD3E14">
        <w:rPr>
          <w:rFonts w:ascii="Rockwell" w:hAnsi="Rockwell"/>
        </w:rPr>
        <w:t xml:space="preserve">is a </w:t>
      </w:r>
      <w:r w:rsidR="000505A8" w:rsidRPr="00DD3E14">
        <w:rPr>
          <w:rFonts w:ascii="Rockwell" w:hAnsi="Rockwell"/>
        </w:rPr>
        <w:t>challenge</w:t>
      </w:r>
      <w:r w:rsidRPr="00DD3E14">
        <w:rPr>
          <w:rFonts w:ascii="Rockwell" w:hAnsi="Rockwell"/>
        </w:rPr>
        <w:t xml:space="preserve">. </w:t>
      </w:r>
      <w:r w:rsidR="006B4A8A" w:rsidRPr="00DD3E14">
        <w:rPr>
          <w:rFonts w:ascii="Rockwell" w:hAnsi="Rockwell"/>
        </w:rPr>
        <w:t>The</w:t>
      </w:r>
      <w:r w:rsidR="000505A8" w:rsidRPr="00DD3E14">
        <w:rPr>
          <w:rFonts w:ascii="Rockwell" w:hAnsi="Rockwell"/>
        </w:rPr>
        <w:t xml:space="preserve"> </w:t>
      </w:r>
      <w:r w:rsidR="007252B0" w:rsidRPr="00DD3E14">
        <w:rPr>
          <w:rFonts w:ascii="Rockwell" w:hAnsi="Rockwell"/>
        </w:rPr>
        <w:t>C</w:t>
      </w:r>
      <w:r w:rsidR="000505A8" w:rsidRPr="00DD3E14">
        <w:rPr>
          <w:rFonts w:ascii="Rockwell" w:hAnsi="Rockwell"/>
        </w:rPr>
        <w:t xml:space="preserve">all to </w:t>
      </w:r>
      <w:r w:rsidR="007252B0" w:rsidRPr="00DD3E14">
        <w:rPr>
          <w:rFonts w:ascii="Rockwell" w:hAnsi="Rockwell"/>
        </w:rPr>
        <w:t>A</w:t>
      </w:r>
      <w:r w:rsidR="000505A8" w:rsidRPr="00DD3E14">
        <w:rPr>
          <w:rFonts w:ascii="Rockwell" w:hAnsi="Rockwell"/>
        </w:rPr>
        <w:t xml:space="preserve">ction </w:t>
      </w:r>
      <w:r w:rsidR="007252B0" w:rsidRPr="00DD3E14">
        <w:rPr>
          <w:rFonts w:ascii="Rockwell" w:hAnsi="Rockwell"/>
        </w:rPr>
        <w:t xml:space="preserve">focuses </w:t>
      </w:r>
      <w:r w:rsidR="000505A8" w:rsidRPr="00DD3E14">
        <w:rPr>
          <w:rFonts w:ascii="Rockwell" w:hAnsi="Rockwell"/>
        </w:rPr>
        <w:t xml:space="preserve">on ways medical laboratory stakeholders can contribute and </w:t>
      </w:r>
      <w:r w:rsidRPr="00DD3E14">
        <w:rPr>
          <w:rFonts w:ascii="Rockwell" w:hAnsi="Rockwell"/>
        </w:rPr>
        <w:t xml:space="preserve">how MLPs can </w:t>
      </w:r>
      <w:r w:rsidR="000505A8" w:rsidRPr="00DD3E14">
        <w:rPr>
          <w:rFonts w:ascii="Rockwell" w:hAnsi="Rockwell"/>
        </w:rPr>
        <w:t xml:space="preserve">be </w:t>
      </w:r>
      <w:r w:rsidRPr="00DD3E14">
        <w:rPr>
          <w:rFonts w:ascii="Rockwell" w:hAnsi="Rockwell"/>
        </w:rPr>
        <w:t xml:space="preserve">employed </w:t>
      </w:r>
      <w:r w:rsidR="000505A8" w:rsidRPr="00DD3E14">
        <w:rPr>
          <w:rFonts w:ascii="Rockwell" w:hAnsi="Rockwell"/>
        </w:rPr>
        <w:t>more effectively</w:t>
      </w:r>
      <w:r w:rsidR="00FF3624" w:rsidRPr="00DD3E14">
        <w:rPr>
          <w:rFonts w:ascii="Rockwell" w:hAnsi="Rockwell"/>
        </w:rPr>
        <w:t xml:space="preserve">. </w:t>
      </w:r>
      <w:r w:rsidRPr="00DD3E14">
        <w:rPr>
          <w:rFonts w:ascii="Rockwell" w:hAnsi="Rockwell"/>
        </w:rPr>
        <w:t xml:space="preserve">The </w:t>
      </w:r>
      <w:r w:rsidR="007252B0" w:rsidRPr="00DD3E14">
        <w:rPr>
          <w:rFonts w:ascii="Rockwell" w:hAnsi="Rockwell"/>
        </w:rPr>
        <w:t>C</w:t>
      </w:r>
      <w:r w:rsidRPr="00DD3E14">
        <w:rPr>
          <w:rFonts w:ascii="Rockwell" w:hAnsi="Rockwell"/>
        </w:rPr>
        <w:t xml:space="preserve">all to </w:t>
      </w:r>
      <w:r w:rsidR="007252B0" w:rsidRPr="00DD3E14">
        <w:rPr>
          <w:rFonts w:ascii="Rockwell" w:hAnsi="Rockwell"/>
        </w:rPr>
        <w:t>A</w:t>
      </w:r>
      <w:r w:rsidRPr="00DD3E14">
        <w:rPr>
          <w:rFonts w:ascii="Rockwell" w:hAnsi="Rockwell"/>
        </w:rPr>
        <w:t>ction recognize</w:t>
      </w:r>
      <w:r w:rsidR="007252B0" w:rsidRPr="00DD3E14">
        <w:rPr>
          <w:rFonts w:ascii="Rockwell" w:hAnsi="Rockwell"/>
        </w:rPr>
        <w:t>s</w:t>
      </w:r>
      <w:r w:rsidRPr="00DD3E14">
        <w:rPr>
          <w:rFonts w:ascii="Rockwell" w:hAnsi="Rockwell"/>
        </w:rPr>
        <w:t xml:space="preserve"> the hard work and collaboration </w:t>
      </w:r>
      <w:r w:rsidR="007252B0" w:rsidRPr="00DD3E14">
        <w:rPr>
          <w:rFonts w:ascii="Rockwell" w:hAnsi="Rockwell"/>
        </w:rPr>
        <w:t xml:space="preserve">conducted by many individuals to </w:t>
      </w:r>
      <w:r w:rsidRPr="00DD3E14">
        <w:rPr>
          <w:rFonts w:ascii="Rockwell" w:hAnsi="Rockwell"/>
        </w:rPr>
        <w:t xml:space="preserve">date and </w:t>
      </w:r>
      <w:r w:rsidRPr="00DD3E14">
        <w:rPr>
          <w:rFonts w:ascii="Rockwell" w:hAnsi="Rockwell"/>
          <w:noProof/>
        </w:rPr>
        <w:t>ask</w:t>
      </w:r>
      <w:r w:rsidR="007252B0" w:rsidRPr="00DD3E14">
        <w:rPr>
          <w:rFonts w:ascii="Rockwell" w:hAnsi="Rockwell"/>
          <w:noProof/>
        </w:rPr>
        <w:t>s</w:t>
      </w:r>
      <w:r w:rsidR="00C74716" w:rsidRPr="00DD3E14">
        <w:rPr>
          <w:rFonts w:ascii="Rockwell" w:hAnsi="Rockwell"/>
          <w:noProof/>
        </w:rPr>
        <w:t xml:space="preserve"> for </w:t>
      </w:r>
      <w:r w:rsidRPr="00DD3E14">
        <w:rPr>
          <w:rFonts w:ascii="Rockwell" w:hAnsi="Rockwell"/>
        </w:rPr>
        <w:t>extend</w:t>
      </w:r>
      <w:r w:rsidR="00C74716" w:rsidRPr="00DD3E14">
        <w:rPr>
          <w:rFonts w:ascii="Rockwell" w:hAnsi="Rockwell"/>
        </w:rPr>
        <w:t>ed</w:t>
      </w:r>
      <w:r w:rsidRPr="00DD3E14">
        <w:rPr>
          <w:rFonts w:ascii="Rockwell" w:hAnsi="Rockwell"/>
        </w:rPr>
        <w:t xml:space="preserve"> efforts as we forge into </w:t>
      </w:r>
      <w:r w:rsidR="006B4A8A" w:rsidRPr="00DD3E14">
        <w:rPr>
          <w:rFonts w:ascii="Rockwell" w:hAnsi="Rockwell"/>
        </w:rPr>
        <w:t xml:space="preserve">a </w:t>
      </w:r>
      <w:r w:rsidRPr="00DD3E14">
        <w:rPr>
          <w:rFonts w:ascii="Rockwell" w:hAnsi="Rockwell"/>
        </w:rPr>
        <w:t>critical period</w:t>
      </w:r>
      <w:r w:rsidR="006B4A8A" w:rsidRPr="00DD3E14">
        <w:rPr>
          <w:rFonts w:ascii="Rockwell" w:hAnsi="Rockwell"/>
        </w:rPr>
        <w:t xml:space="preserve"> over the next </w:t>
      </w:r>
      <w:r w:rsidR="0087694A" w:rsidRPr="00DD3E14">
        <w:rPr>
          <w:rFonts w:ascii="Rockwell" w:hAnsi="Rockwell"/>
        </w:rPr>
        <w:t>10</w:t>
      </w:r>
      <w:r w:rsidR="000A1DB5" w:rsidRPr="00DD3E14">
        <w:rPr>
          <w:rFonts w:ascii="Rockwell" w:hAnsi="Rockwell"/>
        </w:rPr>
        <w:t xml:space="preserve"> </w:t>
      </w:r>
      <w:r w:rsidR="006B4A8A" w:rsidRPr="00DD3E14">
        <w:rPr>
          <w:rFonts w:ascii="Rockwell" w:hAnsi="Rockwell"/>
        </w:rPr>
        <w:t>years</w:t>
      </w:r>
      <w:r w:rsidRPr="00DD3E14">
        <w:rPr>
          <w:rFonts w:ascii="Rockwell" w:hAnsi="Rockwell"/>
        </w:rPr>
        <w:t xml:space="preserve">. </w:t>
      </w:r>
    </w:p>
    <w:p w14:paraId="3C4571CA" w14:textId="0518B2D0" w:rsidR="000505A8" w:rsidRPr="00DD3E14" w:rsidRDefault="001833DD" w:rsidP="000505A8">
      <w:pPr>
        <w:rPr>
          <w:rFonts w:ascii="Rockwell" w:hAnsi="Rockwell"/>
        </w:rPr>
      </w:pPr>
      <w:r w:rsidRPr="00DD3E14">
        <w:rPr>
          <w:rFonts w:ascii="Rockwell" w:hAnsi="Rockwell"/>
        </w:rPr>
        <w:t xml:space="preserve">The impact of the proposed change will be felt not only by our </w:t>
      </w:r>
      <w:r w:rsidRPr="00DD3E14">
        <w:rPr>
          <w:rFonts w:ascii="Rockwell" w:hAnsi="Rockwell"/>
          <w:noProof/>
        </w:rPr>
        <w:t>profession</w:t>
      </w:r>
      <w:r w:rsidRPr="00DD3E14">
        <w:rPr>
          <w:rFonts w:ascii="Rockwell" w:hAnsi="Rockwell"/>
        </w:rPr>
        <w:t xml:space="preserve"> but also</w:t>
      </w:r>
      <w:r w:rsidR="007252B0" w:rsidRPr="00DD3E14">
        <w:rPr>
          <w:rFonts w:ascii="Rockwell" w:hAnsi="Rockwell"/>
        </w:rPr>
        <w:t xml:space="preserve"> by</w:t>
      </w:r>
      <w:r w:rsidRPr="00DD3E14">
        <w:rPr>
          <w:rFonts w:ascii="Rockwell" w:hAnsi="Rockwell"/>
        </w:rPr>
        <w:t xml:space="preserve"> </w:t>
      </w:r>
      <w:r w:rsidR="000A1DB5" w:rsidRPr="00DD3E14">
        <w:rPr>
          <w:rFonts w:ascii="Rockwell" w:hAnsi="Rockwell"/>
        </w:rPr>
        <w:t xml:space="preserve">each </w:t>
      </w:r>
      <w:r w:rsidRPr="00DD3E14">
        <w:rPr>
          <w:rFonts w:ascii="Rockwell" w:hAnsi="Rockwell"/>
        </w:rPr>
        <w:t>Canadian who enters t</w:t>
      </w:r>
      <w:r w:rsidR="00FF1019" w:rsidRPr="00DD3E14">
        <w:rPr>
          <w:rFonts w:ascii="Rockwell" w:hAnsi="Rockwell"/>
        </w:rPr>
        <w:t>he</w:t>
      </w:r>
      <w:r w:rsidRPr="00DD3E14">
        <w:rPr>
          <w:rFonts w:ascii="Rockwell" w:hAnsi="Rockwell"/>
        </w:rPr>
        <w:t xml:space="preserve"> </w:t>
      </w:r>
      <w:r w:rsidRPr="00DD3E14">
        <w:rPr>
          <w:rFonts w:ascii="Rockwell" w:hAnsi="Rockwell"/>
          <w:noProof/>
        </w:rPr>
        <w:t>health system</w:t>
      </w:r>
      <w:r w:rsidRPr="00DD3E14">
        <w:rPr>
          <w:rFonts w:ascii="Rockwell" w:hAnsi="Rockwell"/>
        </w:rPr>
        <w:t xml:space="preserve"> and requires a laboratory test.</w:t>
      </w:r>
      <w:r w:rsidR="000505A8" w:rsidRPr="00DD3E14">
        <w:rPr>
          <w:rFonts w:ascii="Rockwell" w:hAnsi="Rockwell"/>
        </w:rPr>
        <w:t xml:space="preserve"> </w:t>
      </w:r>
      <w:r w:rsidRPr="00DD3E14">
        <w:rPr>
          <w:rFonts w:ascii="Rockwell" w:hAnsi="Rockwell"/>
        </w:rPr>
        <w:t xml:space="preserve">Your </w:t>
      </w:r>
      <w:r w:rsidR="006B4A8A" w:rsidRPr="00DD3E14">
        <w:rPr>
          <w:rFonts w:ascii="Rockwell" w:hAnsi="Rockwell"/>
        </w:rPr>
        <w:t>child</w:t>
      </w:r>
      <w:r w:rsidRPr="00DD3E14">
        <w:rPr>
          <w:rFonts w:ascii="Rockwell" w:hAnsi="Rockwell"/>
        </w:rPr>
        <w:t xml:space="preserve">, your </w:t>
      </w:r>
      <w:r w:rsidR="006B4A8A" w:rsidRPr="00DD3E14">
        <w:rPr>
          <w:rFonts w:ascii="Rockwell" w:hAnsi="Rockwell"/>
        </w:rPr>
        <w:t>relative</w:t>
      </w:r>
      <w:r w:rsidRPr="00DD3E14">
        <w:rPr>
          <w:rFonts w:ascii="Rockwell" w:hAnsi="Rockwell"/>
        </w:rPr>
        <w:t xml:space="preserve">, your friend, </w:t>
      </w:r>
      <w:r w:rsidR="006B4A8A" w:rsidRPr="00DD3E14">
        <w:rPr>
          <w:rFonts w:ascii="Rockwell" w:hAnsi="Rockwell"/>
        </w:rPr>
        <w:t>your colleague</w:t>
      </w:r>
      <w:r w:rsidR="0087694A" w:rsidRPr="00DD3E14">
        <w:rPr>
          <w:rFonts w:ascii="Rockwell" w:hAnsi="Rockwell"/>
        </w:rPr>
        <w:t>—</w:t>
      </w:r>
      <w:r w:rsidR="006B4A8A" w:rsidRPr="00DD3E14">
        <w:rPr>
          <w:rFonts w:ascii="Rockwell" w:hAnsi="Rockwell"/>
        </w:rPr>
        <w:t xml:space="preserve">all Canadians across </w:t>
      </w:r>
      <w:r w:rsidR="007252B0" w:rsidRPr="00DD3E14">
        <w:rPr>
          <w:rFonts w:ascii="Rockwell" w:hAnsi="Rockwell"/>
        </w:rPr>
        <w:t xml:space="preserve">the entirety of their </w:t>
      </w:r>
      <w:r w:rsidR="006B4A8A" w:rsidRPr="00DD3E14">
        <w:rPr>
          <w:rFonts w:ascii="Rockwell" w:hAnsi="Rockwell"/>
        </w:rPr>
        <w:t>lives.</w:t>
      </w:r>
    </w:p>
    <w:p w14:paraId="1EEA1E01" w14:textId="1F907B54" w:rsidR="006B4A8A" w:rsidRPr="00DD3E14" w:rsidRDefault="006B4A8A" w:rsidP="006B4A8A">
      <w:pPr>
        <w:rPr>
          <w:rFonts w:ascii="Rockwell" w:hAnsi="Rockwell"/>
        </w:rPr>
      </w:pPr>
      <w:r w:rsidRPr="00DD3E14">
        <w:rPr>
          <w:rFonts w:ascii="Rockwell" w:hAnsi="Rockwell"/>
        </w:rPr>
        <w:t xml:space="preserve">In addition to the </w:t>
      </w:r>
      <w:r w:rsidR="000669A2" w:rsidRPr="00DD3E14">
        <w:rPr>
          <w:rFonts w:ascii="Rockwell" w:hAnsi="Rockwell"/>
        </w:rPr>
        <w:t xml:space="preserve">information presented in the background section and </w:t>
      </w:r>
      <w:r w:rsidRPr="00DD3E14">
        <w:rPr>
          <w:rFonts w:ascii="Rockwell" w:hAnsi="Rockwell"/>
        </w:rPr>
        <w:t>views expressed within the CSMLS position statement titled, “</w:t>
      </w:r>
      <w:hyperlink r:id="rId14" w:history="1">
        <w:r w:rsidR="00B9794E" w:rsidRPr="00DD3E14">
          <w:rPr>
            <w:rStyle w:val="Hyperlink"/>
            <w:rFonts w:ascii="Rockwell" w:hAnsi="Rockwell"/>
          </w:rPr>
          <w:t>Use of Simulation to Reduce Clinical Placement Hours</w:t>
        </w:r>
      </w:hyperlink>
      <w:r w:rsidR="00280890" w:rsidRPr="00DD3E14">
        <w:rPr>
          <w:rStyle w:val="Hyperlink"/>
          <w:rFonts w:ascii="Rockwell" w:hAnsi="Rockwell"/>
        </w:rPr>
        <w:t>,</w:t>
      </w:r>
      <w:r w:rsidRPr="00DD3E14">
        <w:rPr>
          <w:rFonts w:ascii="Rockwell" w:hAnsi="Rockwell"/>
        </w:rPr>
        <w:t xml:space="preserve">” the following </w:t>
      </w:r>
      <w:r w:rsidR="007252B0" w:rsidRPr="00DD3E14">
        <w:rPr>
          <w:rFonts w:ascii="Rockwell" w:hAnsi="Rockwell"/>
        </w:rPr>
        <w:t>C</w:t>
      </w:r>
      <w:r w:rsidRPr="00DD3E14">
        <w:rPr>
          <w:rFonts w:ascii="Rockwell" w:hAnsi="Rockwell"/>
        </w:rPr>
        <w:t xml:space="preserve">all to </w:t>
      </w:r>
      <w:r w:rsidR="007252B0" w:rsidRPr="00DD3E14">
        <w:rPr>
          <w:rFonts w:ascii="Rockwell" w:hAnsi="Rockwell"/>
        </w:rPr>
        <w:t>A</w:t>
      </w:r>
      <w:r w:rsidRPr="00DD3E14">
        <w:rPr>
          <w:rFonts w:ascii="Rockwell" w:hAnsi="Rockwell"/>
        </w:rPr>
        <w:t xml:space="preserve">ction </w:t>
      </w:r>
      <w:r w:rsidR="007252B0" w:rsidRPr="00DD3E14">
        <w:rPr>
          <w:rFonts w:ascii="Rockwell" w:hAnsi="Rockwell"/>
        </w:rPr>
        <w:t xml:space="preserve">is </w:t>
      </w:r>
      <w:r w:rsidRPr="00DD3E14">
        <w:rPr>
          <w:rFonts w:ascii="Rockwell" w:hAnsi="Rockwell"/>
        </w:rPr>
        <w:t>required:</w:t>
      </w:r>
    </w:p>
    <w:p w14:paraId="75FD8ECD" w14:textId="6F9CD5BB" w:rsidR="00C318B2" w:rsidRPr="00DD3E14" w:rsidRDefault="00C318B2" w:rsidP="00C318B2">
      <w:pPr>
        <w:pStyle w:val="ListParagraph"/>
        <w:numPr>
          <w:ilvl w:val="0"/>
          <w:numId w:val="7"/>
        </w:numPr>
        <w:rPr>
          <w:rFonts w:ascii="Rockwell" w:hAnsi="Rockwell"/>
          <w:b/>
        </w:rPr>
      </w:pPr>
      <w:r w:rsidRPr="00DD3E14">
        <w:rPr>
          <w:rFonts w:ascii="Rockwell" w:hAnsi="Rockwell"/>
          <w:b/>
        </w:rPr>
        <w:t>Public and private laboratories should recognize the negative impact precarious positions and workload burden</w:t>
      </w:r>
      <w:r w:rsidR="00280890" w:rsidRPr="00DD3E14">
        <w:rPr>
          <w:rFonts w:ascii="Rockwell" w:hAnsi="Rockwell"/>
        </w:rPr>
        <w:t>s</w:t>
      </w:r>
      <w:r w:rsidRPr="00DD3E14">
        <w:rPr>
          <w:rFonts w:ascii="Rockwell" w:hAnsi="Rockwell"/>
          <w:b/>
        </w:rPr>
        <w:t xml:space="preserve"> have on </w:t>
      </w:r>
      <w:r w:rsidR="00280890" w:rsidRPr="00DD3E14">
        <w:rPr>
          <w:rFonts w:ascii="Rockwell" w:hAnsi="Rockwell"/>
        </w:rPr>
        <w:t xml:space="preserve">the </w:t>
      </w:r>
      <w:r w:rsidRPr="00DD3E14">
        <w:rPr>
          <w:rFonts w:ascii="Rockwell" w:hAnsi="Rockwell"/>
          <w:b/>
        </w:rPr>
        <w:t xml:space="preserve">employment of current and future </w:t>
      </w:r>
      <w:r w:rsidRPr="00DD3E14">
        <w:rPr>
          <w:rFonts w:ascii="Rockwell" w:hAnsi="Rockwell"/>
          <w:b/>
          <w:noProof/>
        </w:rPr>
        <w:t>workforces</w:t>
      </w:r>
      <w:r w:rsidRPr="00DD3E14">
        <w:rPr>
          <w:rFonts w:ascii="Rockwell" w:hAnsi="Rockwell"/>
          <w:b/>
        </w:rPr>
        <w:t xml:space="preserve"> and work towards a brighter future for their organizations and MLP</w:t>
      </w:r>
      <w:r w:rsidR="00280890" w:rsidRPr="00DD3E14">
        <w:rPr>
          <w:rFonts w:ascii="Rockwell" w:hAnsi="Rockwell"/>
        </w:rPr>
        <w:t>s</w:t>
      </w:r>
      <w:r w:rsidRPr="00DD3E14">
        <w:rPr>
          <w:rFonts w:ascii="Rockwell" w:hAnsi="Rockwell"/>
          <w:b/>
        </w:rPr>
        <w:t xml:space="preserve">. </w:t>
      </w:r>
    </w:p>
    <w:p w14:paraId="1B5C5592" w14:textId="597CCF5C" w:rsidR="00C318B2" w:rsidRDefault="00C318B2" w:rsidP="00C318B2">
      <w:pPr>
        <w:pStyle w:val="ListParagraph"/>
        <w:numPr>
          <w:ilvl w:val="1"/>
          <w:numId w:val="7"/>
        </w:numPr>
        <w:rPr>
          <w:rFonts w:ascii="Rockwell" w:hAnsi="Rockwell"/>
        </w:rPr>
      </w:pPr>
      <w:r w:rsidRPr="00DD3E14">
        <w:rPr>
          <w:rFonts w:ascii="Rockwell" w:hAnsi="Rockwell"/>
        </w:rPr>
        <w:t>Recognizing the problem of fiscal constraint in today’s health care system, CSMLS asks that you evaluate your human health resource and infrastructure budgets under a long-term lens and continue to advocate for permanent full</w:t>
      </w:r>
      <w:r w:rsidR="00280890" w:rsidRPr="00DD3E14">
        <w:rPr>
          <w:rFonts w:ascii="Rockwell" w:hAnsi="Rockwell"/>
        </w:rPr>
        <w:t>-</w:t>
      </w:r>
      <w:r w:rsidRPr="00DD3E14">
        <w:rPr>
          <w:rFonts w:ascii="Rockwell" w:hAnsi="Rockwell"/>
        </w:rPr>
        <w:t>time positions, create new collaborations with academic partners for clinical placement student spots, reserve positions for new graduates using formalized buddy-system models with experienced MLPs and address the mental health issues in the workplace that are plaguing our profession.</w:t>
      </w:r>
    </w:p>
    <w:p w14:paraId="242BE327" w14:textId="77777777" w:rsidR="00DD3E14" w:rsidRPr="00DD3E14" w:rsidRDefault="00DD3E14" w:rsidP="00DD3E14">
      <w:pPr>
        <w:pStyle w:val="ListParagraph"/>
        <w:ind w:left="1080"/>
        <w:rPr>
          <w:rFonts w:ascii="Rockwell" w:hAnsi="Rockwell"/>
        </w:rPr>
      </w:pPr>
    </w:p>
    <w:p w14:paraId="0E490E54" w14:textId="77777777" w:rsidR="007E06F3" w:rsidRPr="00DD3E14" w:rsidRDefault="007E06F3" w:rsidP="007E06F3">
      <w:pPr>
        <w:pStyle w:val="ListParagraph"/>
        <w:numPr>
          <w:ilvl w:val="0"/>
          <w:numId w:val="7"/>
        </w:numPr>
        <w:rPr>
          <w:rFonts w:ascii="Rockwell" w:hAnsi="Rockwell"/>
          <w:b/>
        </w:rPr>
      </w:pPr>
      <w:r w:rsidRPr="00DD3E14">
        <w:rPr>
          <w:rFonts w:ascii="Rockwell" w:hAnsi="Rockwell"/>
          <w:b/>
        </w:rPr>
        <w:t xml:space="preserve">We need to increase the number of students received by quality clinical placement sites to support and enrich competency obtainment. This includes building a financial and resource infrastructure to allocate dedicated training time for clinical instructors and preceptors. </w:t>
      </w:r>
    </w:p>
    <w:p w14:paraId="23B777BF" w14:textId="28833755" w:rsidR="007E06F3" w:rsidRPr="00DD3E14" w:rsidRDefault="007E06F3" w:rsidP="007E06F3">
      <w:pPr>
        <w:pStyle w:val="ListParagraph"/>
        <w:numPr>
          <w:ilvl w:val="1"/>
          <w:numId w:val="7"/>
        </w:numPr>
        <w:rPr>
          <w:rFonts w:ascii="Rockwell" w:hAnsi="Rockwell"/>
        </w:rPr>
      </w:pPr>
      <w:r w:rsidRPr="00DD3E14">
        <w:rPr>
          <w:rFonts w:ascii="Rockwell" w:hAnsi="Rockwell"/>
        </w:rPr>
        <w:t>CSMLS recognizes the importance of hands-on experience for students and appreciates the work by laboratories and academic programs to achieve this. We acknowledge that new clinical placement models are required and welcome evaluated innovation to meet student competency needs for CSMLS certification.</w:t>
      </w:r>
    </w:p>
    <w:p w14:paraId="50799BF3" w14:textId="77777777" w:rsidR="007E06F3" w:rsidRPr="00DD3E14" w:rsidRDefault="007E06F3" w:rsidP="007E06F3">
      <w:pPr>
        <w:pStyle w:val="ListParagraph"/>
        <w:numPr>
          <w:ilvl w:val="1"/>
          <w:numId w:val="7"/>
        </w:numPr>
        <w:rPr>
          <w:rFonts w:ascii="Rockwell" w:hAnsi="Rockwell"/>
        </w:rPr>
      </w:pPr>
      <w:r w:rsidRPr="00DD3E14">
        <w:rPr>
          <w:rFonts w:ascii="Rockwell" w:hAnsi="Rockwell"/>
        </w:rPr>
        <w:t>Laboratories not previously accepting students should evaluate their ability to contribute to the Call to Action and determine their ability in collaboration with academic programs.</w:t>
      </w:r>
    </w:p>
    <w:p w14:paraId="646090A4" w14:textId="42B603C5" w:rsidR="007E06F3" w:rsidRDefault="007E06F3" w:rsidP="007E06F3">
      <w:pPr>
        <w:pStyle w:val="ListParagraph"/>
        <w:numPr>
          <w:ilvl w:val="1"/>
          <w:numId w:val="7"/>
        </w:numPr>
        <w:rPr>
          <w:rFonts w:ascii="Rockwell" w:hAnsi="Rockwell"/>
        </w:rPr>
      </w:pPr>
      <w:r w:rsidRPr="00DD3E14">
        <w:rPr>
          <w:rFonts w:ascii="Rockwell" w:hAnsi="Rockwell"/>
        </w:rPr>
        <w:lastRenderedPageBreak/>
        <w:t>Academic programs have reported evidence that specific competency sign-off can be obtained within a simulated environment. In alignment with accreditation requirements, academic programs should explore the possibility of models that involve such sign-off and network with other programs to identify steps and evidence to accomplish this. Such effort</w:t>
      </w:r>
      <w:r w:rsidR="00337620" w:rsidRPr="00DD3E14">
        <w:rPr>
          <w:rFonts w:ascii="Rockwell" w:hAnsi="Rockwell"/>
        </w:rPr>
        <w:t>s</w:t>
      </w:r>
      <w:r w:rsidRPr="00DD3E14">
        <w:rPr>
          <w:rFonts w:ascii="Rockwell" w:hAnsi="Rockwell"/>
        </w:rPr>
        <w:t xml:space="preserve"> would facilitate new models for clinical placements and a potential reduction in clinical hour requirements.</w:t>
      </w:r>
    </w:p>
    <w:p w14:paraId="5BBB63AC" w14:textId="77777777" w:rsidR="00DD3E14" w:rsidRPr="00DD3E14" w:rsidRDefault="00DD3E14" w:rsidP="00DD3E14">
      <w:pPr>
        <w:pStyle w:val="ListParagraph"/>
        <w:ind w:left="1080"/>
        <w:rPr>
          <w:rFonts w:ascii="Rockwell" w:hAnsi="Rockwell"/>
        </w:rPr>
      </w:pPr>
    </w:p>
    <w:p w14:paraId="62930A4C" w14:textId="7578146B" w:rsidR="00586982" w:rsidRPr="00DD3E14" w:rsidRDefault="003B4692" w:rsidP="003B4692">
      <w:pPr>
        <w:pStyle w:val="ListParagraph"/>
        <w:numPr>
          <w:ilvl w:val="0"/>
          <w:numId w:val="7"/>
        </w:numPr>
        <w:rPr>
          <w:rFonts w:ascii="Rockwell" w:hAnsi="Rockwell"/>
          <w:b/>
        </w:rPr>
      </w:pPr>
      <w:r w:rsidRPr="00DD3E14">
        <w:rPr>
          <w:rFonts w:ascii="Rockwell" w:hAnsi="Rockwell"/>
          <w:b/>
        </w:rPr>
        <w:t xml:space="preserve">Starting immediately, we need an unparalleled increase in </w:t>
      </w:r>
      <w:r w:rsidR="00C81386" w:rsidRPr="00DD3E14">
        <w:rPr>
          <w:rFonts w:ascii="Rockwell" w:hAnsi="Rockwell"/>
          <w:b/>
        </w:rPr>
        <w:t xml:space="preserve">MLT </w:t>
      </w:r>
      <w:r w:rsidRPr="00DD3E14">
        <w:rPr>
          <w:rFonts w:ascii="Rockwell" w:hAnsi="Rockwell"/>
          <w:b/>
        </w:rPr>
        <w:t xml:space="preserve">academic </w:t>
      </w:r>
      <w:r w:rsidR="00C81386" w:rsidRPr="00DD3E14">
        <w:rPr>
          <w:rFonts w:ascii="Rockwell" w:hAnsi="Rockwell"/>
          <w:b/>
        </w:rPr>
        <w:t xml:space="preserve">student </w:t>
      </w:r>
      <w:r w:rsidRPr="00DD3E14">
        <w:rPr>
          <w:rFonts w:ascii="Rockwell" w:hAnsi="Rockwell"/>
          <w:b/>
        </w:rPr>
        <w:t xml:space="preserve">seats </w:t>
      </w:r>
      <w:r w:rsidR="00586982" w:rsidRPr="00DD3E14">
        <w:rPr>
          <w:rFonts w:ascii="Rockwell" w:hAnsi="Rockwell"/>
          <w:b/>
        </w:rPr>
        <w:t xml:space="preserve">to combat the current and future </w:t>
      </w:r>
      <w:r w:rsidR="00C81386" w:rsidRPr="00DD3E14">
        <w:rPr>
          <w:rFonts w:ascii="Rockwell" w:hAnsi="Rockwell"/>
          <w:b/>
        </w:rPr>
        <w:t>HHR</w:t>
      </w:r>
      <w:r w:rsidR="00586982" w:rsidRPr="00DD3E14">
        <w:rPr>
          <w:rFonts w:ascii="Rockwell" w:hAnsi="Rockwell"/>
          <w:b/>
        </w:rPr>
        <w:t xml:space="preserve"> shortage. </w:t>
      </w:r>
      <w:r w:rsidR="007B0D80" w:rsidRPr="00DD3E14">
        <w:rPr>
          <w:rFonts w:ascii="Rockwell" w:hAnsi="Rockwell"/>
          <w:b/>
        </w:rPr>
        <w:t>Academic programs, clinical</w:t>
      </w:r>
      <w:r w:rsidR="00206D81" w:rsidRPr="00DD3E14">
        <w:rPr>
          <w:rFonts w:ascii="Rockwell" w:hAnsi="Rockwell"/>
          <w:b/>
        </w:rPr>
        <w:t xml:space="preserve"> </w:t>
      </w:r>
      <w:r w:rsidR="007B0D80" w:rsidRPr="00DD3E14">
        <w:rPr>
          <w:rFonts w:ascii="Rockwell" w:hAnsi="Rockwell"/>
          <w:b/>
        </w:rPr>
        <w:t xml:space="preserve">placement sites </w:t>
      </w:r>
      <w:r w:rsidR="007B0D80" w:rsidRPr="00DD3E14">
        <w:rPr>
          <w:rFonts w:ascii="Rockwell" w:hAnsi="Rockwell"/>
          <w:b/>
          <w:noProof/>
        </w:rPr>
        <w:t>and</w:t>
      </w:r>
      <w:r w:rsidR="007B0D80" w:rsidRPr="00DD3E14">
        <w:rPr>
          <w:rFonts w:ascii="Rockwell" w:hAnsi="Rockwell"/>
          <w:b/>
        </w:rPr>
        <w:t xml:space="preserve"> </w:t>
      </w:r>
      <w:r w:rsidR="00206D81" w:rsidRPr="00DD3E14">
        <w:rPr>
          <w:rFonts w:ascii="Rockwell" w:hAnsi="Rockwell"/>
          <w:b/>
        </w:rPr>
        <w:t xml:space="preserve">non-clinical placement site </w:t>
      </w:r>
      <w:r w:rsidR="007B0D80" w:rsidRPr="00DD3E14">
        <w:rPr>
          <w:rFonts w:ascii="Rockwell" w:hAnsi="Rockwell"/>
          <w:b/>
        </w:rPr>
        <w:t xml:space="preserve">laboratories </w:t>
      </w:r>
      <w:r w:rsidR="00206D81" w:rsidRPr="00DD3E14">
        <w:rPr>
          <w:rFonts w:ascii="Rockwell" w:hAnsi="Rockwell"/>
          <w:b/>
        </w:rPr>
        <w:t xml:space="preserve">need to formally evaluate their programs with </w:t>
      </w:r>
      <w:r w:rsidR="00206D81" w:rsidRPr="00DD3E14">
        <w:rPr>
          <w:rFonts w:ascii="Rockwell" w:hAnsi="Rockwell"/>
          <w:b/>
          <w:noProof/>
        </w:rPr>
        <w:t>administration</w:t>
      </w:r>
      <w:r w:rsidR="00206D81" w:rsidRPr="00DD3E14">
        <w:rPr>
          <w:rFonts w:ascii="Rockwell" w:hAnsi="Rockwell"/>
          <w:b/>
        </w:rPr>
        <w:t xml:space="preserve"> and determine how to enhance student clinical placement training and increase student throughput.</w:t>
      </w:r>
    </w:p>
    <w:p w14:paraId="6021E06E" w14:textId="3942908B" w:rsidR="00586982" w:rsidRPr="00DD3E14" w:rsidRDefault="00586982" w:rsidP="00586982">
      <w:pPr>
        <w:pStyle w:val="ListParagraph"/>
        <w:numPr>
          <w:ilvl w:val="1"/>
          <w:numId w:val="7"/>
        </w:numPr>
        <w:rPr>
          <w:rFonts w:ascii="Rockwell" w:hAnsi="Rockwell"/>
        </w:rPr>
      </w:pPr>
      <w:r w:rsidRPr="00DD3E14">
        <w:rPr>
          <w:rFonts w:ascii="Rockwell" w:hAnsi="Rockwell"/>
        </w:rPr>
        <w:t xml:space="preserve">CSMLS recognizes the shortage is </w:t>
      </w:r>
      <w:r w:rsidR="002A5334" w:rsidRPr="00DD3E14">
        <w:rPr>
          <w:rFonts w:ascii="Rockwell" w:hAnsi="Rockwell"/>
          <w:noProof/>
        </w:rPr>
        <w:t>regional</w:t>
      </w:r>
      <w:r w:rsidR="00FF1019" w:rsidRPr="00DD3E14">
        <w:rPr>
          <w:rFonts w:ascii="Rockwell" w:hAnsi="Rockwell"/>
          <w:noProof/>
        </w:rPr>
        <w:t>ly</w:t>
      </w:r>
      <w:r w:rsidR="007A410B" w:rsidRPr="00DD3E14">
        <w:rPr>
          <w:rFonts w:ascii="Rockwell" w:hAnsi="Rockwell"/>
        </w:rPr>
        <w:t xml:space="preserve">, </w:t>
      </w:r>
      <w:r w:rsidR="002A5334" w:rsidRPr="00DD3E14">
        <w:rPr>
          <w:rFonts w:ascii="Rockwell" w:hAnsi="Rockwell"/>
        </w:rPr>
        <w:t xml:space="preserve">provincially </w:t>
      </w:r>
      <w:r w:rsidR="007A410B" w:rsidRPr="00DD3E14">
        <w:rPr>
          <w:rFonts w:ascii="Rockwell" w:hAnsi="Rockwell"/>
        </w:rPr>
        <w:t xml:space="preserve">and nationally </w:t>
      </w:r>
      <w:r w:rsidRPr="00DD3E14">
        <w:rPr>
          <w:rFonts w:ascii="Rockwell" w:hAnsi="Rockwell"/>
        </w:rPr>
        <w:t xml:space="preserve">relevant, ranging from remote to urban locations, and we recommend that academic programs </w:t>
      </w:r>
      <w:r w:rsidR="002A5334" w:rsidRPr="00DD3E14">
        <w:rPr>
          <w:rFonts w:ascii="Rockwell" w:hAnsi="Rockwell"/>
        </w:rPr>
        <w:t>collaborate</w:t>
      </w:r>
      <w:r w:rsidR="00387FC9" w:rsidRPr="00DD3E14">
        <w:rPr>
          <w:rFonts w:ascii="Rockwell" w:hAnsi="Rockwell"/>
        </w:rPr>
        <w:t>, collect</w:t>
      </w:r>
      <w:r w:rsidR="002A5334" w:rsidRPr="00DD3E14">
        <w:rPr>
          <w:rFonts w:ascii="Rockwell" w:hAnsi="Rockwell"/>
        </w:rPr>
        <w:t xml:space="preserve"> and share </w:t>
      </w:r>
      <w:r w:rsidRPr="00DD3E14">
        <w:rPr>
          <w:rFonts w:ascii="Rockwell" w:hAnsi="Rockwell"/>
        </w:rPr>
        <w:t>evidence for seat increase allowances</w:t>
      </w:r>
      <w:r w:rsidR="002A5334" w:rsidRPr="00DD3E14">
        <w:rPr>
          <w:rFonts w:ascii="Rockwell" w:hAnsi="Rockwell"/>
        </w:rPr>
        <w:t xml:space="preserve"> </w:t>
      </w:r>
      <w:r w:rsidR="007252B0" w:rsidRPr="00DD3E14">
        <w:rPr>
          <w:rFonts w:ascii="Rockwell" w:hAnsi="Rockwell"/>
        </w:rPr>
        <w:t>under a multifocal lens</w:t>
      </w:r>
      <w:r w:rsidRPr="00DD3E14">
        <w:rPr>
          <w:rFonts w:ascii="Rockwell" w:hAnsi="Rockwell"/>
        </w:rPr>
        <w:t>.</w:t>
      </w:r>
    </w:p>
    <w:p w14:paraId="2226956B" w14:textId="7AE51DFB" w:rsidR="00586982" w:rsidRPr="00DD3E14" w:rsidRDefault="00586982" w:rsidP="00586982">
      <w:pPr>
        <w:pStyle w:val="ListParagraph"/>
        <w:numPr>
          <w:ilvl w:val="1"/>
          <w:numId w:val="7"/>
        </w:numPr>
        <w:rPr>
          <w:rFonts w:ascii="Rockwell" w:hAnsi="Rockwell"/>
        </w:rPr>
      </w:pPr>
      <w:r w:rsidRPr="00DD3E14">
        <w:rPr>
          <w:rFonts w:ascii="Rockwell" w:hAnsi="Rockwell"/>
        </w:rPr>
        <w:t xml:space="preserve">The use of </w:t>
      </w:r>
      <w:r w:rsidR="007252B0" w:rsidRPr="00DD3E14">
        <w:rPr>
          <w:rFonts w:ascii="Rockwell" w:hAnsi="Rockwell"/>
        </w:rPr>
        <w:t xml:space="preserve">system </w:t>
      </w:r>
      <w:r w:rsidRPr="00DD3E14">
        <w:rPr>
          <w:rFonts w:ascii="Rockwell" w:hAnsi="Rockwell"/>
        </w:rPr>
        <w:t xml:space="preserve">models that include enhanced or new collaborations between programs and laboratories, including pan-Canadian considerations (e.g., inter- and </w:t>
      </w:r>
      <w:r w:rsidRPr="00DD3E14">
        <w:rPr>
          <w:rFonts w:ascii="Rockwell" w:hAnsi="Rockwell"/>
          <w:noProof/>
        </w:rPr>
        <w:t>intra</w:t>
      </w:r>
      <w:r w:rsidR="00652A89" w:rsidRPr="00DD3E14">
        <w:rPr>
          <w:rFonts w:ascii="Rockwell" w:hAnsi="Rockwell"/>
        </w:rPr>
        <w:t>-</w:t>
      </w:r>
      <w:r w:rsidRPr="00DD3E14">
        <w:rPr>
          <w:rFonts w:ascii="Rockwell" w:hAnsi="Rockwell"/>
        </w:rPr>
        <w:t>provincial partnerships)</w:t>
      </w:r>
      <w:r w:rsidR="00B02EB3" w:rsidRPr="00DD3E14">
        <w:rPr>
          <w:rFonts w:ascii="Rockwell" w:hAnsi="Rockwell"/>
        </w:rPr>
        <w:t>, shorter clinical placement hours</w:t>
      </w:r>
      <w:r w:rsidR="002A5334" w:rsidRPr="00DD3E14">
        <w:rPr>
          <w:rFonts w:ascii="Rockwell" w:hAnsi="Rockwell"/>
        </w:rPr>
        <w:t xml:space="preserve"> and/or alternative models of </w:t>
      </w:r>
      <w:r w:rsidR="008E2EE5" w:rsidRPr="00DD3E14">
        <w:rPr>
          <w:rFonts w:ascii="Rockwell" w:hAnsi="Rockwell"/>
        </w:rPr>
        <w:t xml:space="preserve">and within </w:t>
      </w:r>
      <w:r w:rsidR="002A5334" w:rsidRPr="00DD3E14">
        <w:rPr>
          <w:rFonts w:ascii="Rockwell" w:hAnsi="Rockwell"/>
        </w:rPr>
        <w:t>clinical training (e.g., simulation, standardized OSCEs, buddy system</w:t>
      </w:r>
      <w:r w:rsidR="009919A3" w:rsidRPr="00DD3E14">
        <w:rPr>
          <w:rFonts w:ascii="Rockwell" w:hAnsi="Rockwell"/>
        </w:rPr>
        <w:t xml:space="preserve"> and</w:t>
      </w:r>
      <w:r w:rsidR="002A5334" w:rsidRPr="00DD3E14">
        <w:rPr>
          <w:rFonts w:ascii="Rockwell" w:hAnsi="Rockwell"/>
        </w:rPr>
        <w:t xml:space="preserve"> student-to-student </w:t>
      </w:r>
      <w:r w:rsidR="008E2EE5" w:rsidRPr="00DD3E14">
        <w:rPr>
          <w:rFonts w:ascii="Rockwell" w:hAnsi="Rockwell"/>
        </w:rPr>
        <w:t>exercises</w:t>
      </w:r>
      <w:r w:rsidR="002A5334" w:rsidRPr="00DD3E14">
        <w:rPr>
          <w:rFonts w:ascii="Rockwell" w:hAnsi="Rockwell"/>
        </w:rPr>
        <w:t>)</w:t>
      </w:r>
      <w:r w:rsidRPr="00DD3E14">
        <w:rPr>
          <w:rFonts w:ascii="Rockwell" w:hAnsi="Rockwell"/>
        </w:rPr>
        <w:t>, should be considered to meet clinical placement site needs.</w:t>
      </w:r>
    </w:p>
    <w:p w14:paraId="5965E58D" w14:textId="4DD64CED" w:rsidR="008E2EE5" w:rsidRPr="00DD3E14" w:rsidRDefault="008E2EE5" w:rsidP="00586982">
      <w:pPr>
        <w:pStyle w:val="ListParagraph"/>
        <w:numPr>
          <w:ilvl w:val="1"/>
          <w:numId w:val="7"/>
        </w:numPr>
        <w:rPr>
          <w:rFonts w:ascii="Rockwell" w:hAnsi="Rockwell"/>
        </w:rPr>
      </w:pPr>
      <w:r w:rsidRPr="00DD3E14">
        <w:rPr>
          <w:rFonts w:ascii="Rockwell" w:hAnsi="Rockwell"/>
        </w:rPr>
        <w:t xml:space="preserve">The use of simulation to support hands-on practice in order to </w:t>
      </w:r>
      <w:r w:rsidRPr="00DD3E14">
        <w:rPr>
          <w:rFonts w:ascii="Rockwell" w:hAnsi="Rockwell"/>
          <w:noProof/>
        </w:rPr>
        <w:t>compl</w:t>
      </w:r>
      <w:r w:rsidR="00FF1019" w:rsidRPr="00DD3E14">
        <w:rPr>
          <w:rFonts w:ascii="Rockwell" w:hAnsi="Rockwell"/>
          <w:noProof/>
        </w:rPr>
        <w:t>e</w:t>
      </w:r>
      <w:r w:rsidRPr="00DD3E14">
        <w:rPr>
          <w:rFonts w:ascii="Rockwell" w:hAnsi="Rockwell"/>
          <w:noProof/>
        </w:rPr>
        <w:t>ment</w:t>
      </w:r>
      <w:r w:rsidRPr="00DD3E14">
        <w:rPr>
          <w:rFonts w:ascii="Rockwell" w:hAnsi="Rockwell"/>
        </w:rPr>
        <w:t xml:space="preserve"> clinical placement training is encouraged and should be incorporated into academic programs where expertise and infrastructure have been or will be dedicated.</w:t>
      </w:r>
    </w:p>
    <w:p w14:paraId="761180EC" w14:textId="52AD893E" w:rsidR="00586982" w:rsidRPr="00DD3E14" w:rsidRDefault="008E2EE5" w:rsidP="008E2EE5">
      <w:pPr>
        <w:pStyle w:val="ListParagraph"/>
        <w:numPr>
          <w:ilvl w:val="1"/>
          <w:numId w:val="7"/>
        </w:numPr>
        <w:rPr>
          <w:rFonts w:ascii="Rockwell" w:hAnsi="Rockwell"/>
        </w:rPr>
      </w:pPr>
      <w:r w:rsidRPr="00DD3E14">
        <w:rPr>
          <w:rFonts w:ascii="Rockwell" w:hAnsi="Rockwell"/>
        </w:rPr>
        <w:t xml:space="preserve">In line with the </w:t>
      </w:r>
      <w:hyperlink r:id="rId15" w:history="1">
        <w:r w:rsidRPr="00DD3E14">
          <w:rPr>
            <w:rStyle w:val="Hyperlink"/>
            <w:rFonts w:ascii="Rockwell" w:hAnsi="Rockwell"/>
            <w:i/>
          </w:rPr>
          <w:t>Truth and Reconciliation Commission of Canada: Calls to Action</w:t>
        </w:r>
      </w:hyperlink>
      <w:r w:rsidRPr="00DD3E14">
        <w:rPr>
          <w:rFonts w:ascii="Rockwell" w:hAnsi="Rockwell"/>
        </w:rPr>
        <w:t xml:space="preserve">, </w:t>
      </w:r>
      <w:r w:rsidR="00E77E40" w:rsidRPr="00DD3E14">
        <w:rPr>
          <w:rFonts w:ascii="Rockwell" w:hAnsi="Rockwell"/>
        </w:rPr>
        <w:t xml:space="preserve">attention should be </w:t>
      </w:r>
      <w:r w:rsidR="00011B70" w:rsidRPr="00DD3E14">
        <w:rPr>
          <w:rFonts w:ascii="Rockwell" w:hAnsi="Rockwell"/>
        </w:rPr>
        <w:t xml:space="preserve">paid </w:t>
      </w:r>
      <w:r w:rsidRPr="00DD3E14">
        <w:rPr>
          <w:rFonts w:ascii="Rockwell" w:hAnsi="Rockwell"/>
        </w:rPr>
        <w:t>for</w:t>
      </w:r>
      <w:r w:rsidR="00011B70" w:rsidRPr="00DD3E14">
        <w:rPr>
          <w:rFonts w:ascii="Rockwell" w:hAnsi="Rockwell"/>
        </w:rPr>
        <w:t xml:space="preserve"> </w:t>
      </w:r>
      <w:r w:rsidR="00E77E40" w:rsidRPr="00DD3E14">
        <w:rPr>
          <w:rFonts w:ascii="Rockwell" w:hAnsi="Rockwell"/>
        </w:rPr>
        <w:t xml:space="preserve">the inclusion of Aboriginal students in </w:t>
      </w:r>
      <w:r w:rsidR="007B0D80" w:rsidRPr="00DD3E14">
        <w:rPr>
          <w:rFonts w:ascii="Rockwell" w:hAnsi="Rockwell"/>
        </w:rPr>
        <w:t xml:space="preserve">all </w:t>
      </w:r>
      <w:r w:rsidR="00E77E40" w:rsidRPr="00DD3E14">
        <w:rPr>
          <w:rFonts w:ascii="Rockwell" w:hAnsi="Rockwell"/>
        </w:rPr>
        <w:t>medical laboratory programs, including designated seats</w:t>
      </w:r>
      <w:r w:rsidRPr="00DD3E14">
        <w:rPr>
          <w:rFonts w:ascii="Rockwell" w:hAnsi="Rockwell"/>
        </w:rPr>
        <w:t xml:space="preserve">, </w:t>
      </w:r>
      <w:r w:rsidR="00E77E40" w:rsidRPr="00DD3E14">
        <w:rPr>
          <w:rFonts w:ascii="Rockwell" w:hAnsi="Rockwell"/>
        </w:rPr>
        <w:t>clinical placement options in Aboriginal communities</w:t>
      </w:r>
      <w:r w:rsidRPr="00DD3E14">
        <w:rPr>
          <w:rFonts w:ascii="Rockwell" w:hAnsi="Rockwell"/>
        </w:rPr>
        <w:t xml:space="preserve"> and collaborations to create guaranteed </w:t>
      </w:r>
      <w:r w:rsidR="00011B70" w:rsidRPr="00DD3E14">
        <w:rPr>
          <w:rFonts w:ascii="Rockwell" w:hAnsi="Rockwell"/>
        </w:rPr>
        <w:t xml:space="preserve">employment after </w:t>
      </w:r>
      <w:r w:rsidRPr="00DD3E14">
        <w:rPr>
          <w:rFonts w:ascii="Rockwell" w:hAnsi="Rockwell"/>
        </w:rPr>
        <w:t>CSMLS certification</w:t>
      </w:r>
      <w:r w:rsidR="00E77E40" w:rsidRPr="00DD3E14">
        <w:rPr>
          <w:rFonts w:ascii="Rockwell" w:hAnsi="Rockwell"/>
        </w:rPr>
        <w:t>.</w:t>
      </w:r>
      <w:r w:rsidR="00011B70" w:rsidRPr="00DD3E14">
        <w:rPr>
          <w:rFonts w:ascii="Rockwell" w:hAnsi="Rockwell"/>
        </w:rPr>
        <w:t xml:space="preserve"> Consideration for other </w:t>
      </w:r>
      <w:r w:rsidR="002A5334" w:rsidRPr="00DD3E14">
        <w:rPr>
          <w:rFonts w:ascii="Rockwell" w:hAnsi="Rockwell"/>
        </w:rPr>
        <w:t xml:space="preserve">underrepresented </w:t>
      </w:r>
      <w:r w:rsidR="00011B70" w:rsidRPr="00DD3E14">
        <w:rPr>
          <w:rFonts w:ascii="Rockwell" w:hAnsi="Rockwell"/>
        </w:rPr>
        <w:t>populations of students should be considered locally.</w:t>
      </w:r>
    </w:p>
    <w:p w14:paraId="6676DFFF" w14:textId="225C1921" w:rsidR="00652A89" w:rsidRPr="00DD3E14" w:rsidRDefault="00652A89" w:rsidP="007E06F3">
      <w:pPr>
        <w:pStyle w:val="ListParagraph"/>
        <w:numPr>
          <w:ilvl w:val="1"/>
          <w:numId w:val="7"/>
        </w:numPr>
        <w:rPr>
          <w:rFonts w:ascii="Rockwell" w:hAnsi="Rockwell"/>
        </w:rPr>
      </w:pPr>
      <w:r w:rsidRPr="00DD3E14">
        <w:rPr>
          <w:rFonts w:ascii="Rockwell" w:hAnsi="Rockwell"/>
        </w:rPr>
        <w:t xml:space="preserve">The integration of internationally educated health professionals (IEHPs) into the workforce has been identified as a promising strategy for addressing HHR shortages in many countries. </w:t>
      </w:r>
      <w:hyperlink r:id="rId16" w:history="1">
        <w:r w:rsidRPr="00DD3E14">
          <w:rPr>
            <w:rStyle w:val="Hyperlink"/>
            <w:rFonts w:ascii="Rockwell" w:hAnsi="Rockwell"/>
          </w:rPr>
          <w:t>Using best</w:t>
        </w:r>
        <w:r w:rsidR="009919A3" w:rsidRPr="00DD3E14">
          <w:rPr>
            <w:rStyle w:val="Hyperlink"/>
            <w:rFonts w:ascii="Rockwell" w:hAnsi="Rockwell"/>
          </w:rPr>
          <w:t>-</w:t>
        </w:r>
        <w:r w:rsidRPr="00DD3E14">
          <w:rPr>
            <w:rStyle w:val="Hyperlink"/>
            <w:rFonts w:ascii="Rockwell" w:hAnsi="Rockwell"/>
          </w:rPr>
          <w:t>practice information</w:t>
        </w:r>
      </w:hyperlink>
      <w:r w:rsidRPr="00DD3E14">
        <w:rPr>
          <w:rFonts w:ascii="Rockwell" w:hAnsi="Rockwell"/>
        </w:rPr>
        <w:t xml:space="preserve"> </w:t>
      </w:r>
      <w:r w:rsidR="009919A3" w:rsidRPr="00DD3E14">
        <w:rPr>
          <w:rFonts w:ascii="Rockwell" w:hAnsi="Rockwell"/>
          <w:noProof/>
        </w:rPr>
        <w:t>for</w:t>
      </w:r>
      <w:r w:rsidR="009919A3" w:rsidRPr="00DD3E14">
        <w:rPr>
          <w:rFonts w:ascii="Rockwell" w:hAnsi="Rockwell"/>
        </w:rPr>
        <w:t xml:space="preserve"> the creation and enhancement </w:t>
      </w:r>
      <w:r w:rsidR="009919A3" w:rsidRPr="00DD3E14">
        <w:rPr>
          <w:rFonts w:ascii="Rockwell" w:hAnsi="Rockwell"/>
          <w:noProof/>
        </w:rPr>
        <w:t>of</w:t>
      </w:r>
      <w:r w:rsidRPr="00DD3E14">
        <w:rPr>
          <w:rFonts w:ascii="Rockwell" w:hAnsi="Rockwell"/>
        </w:rPr>
        <w:t xml:space="preserve"> medical laboratory bridging programs as well as</w:t>
      </w:r>
      <w:r w:rsidR="009919A3" w:rsidRPr="00DD3E14">
        <w:rPr>
          <w:rFonts w:ascii="Rockwell" w:hAnsi="Rockwell"/>
        </w:rPr>
        <w:t xml:space="preserve"> for</w:t>
      </w:r>
      <w:r w:rsidRPr="00DD3E14">
        <w:rPr>
          <w:rFonts w:ascii="Rockwell" w:hAnsi="Rockwell"/>
        </w:rPr>
        <w:t xml:space="preserve"> other recruitment and retention strategies</w:t>
      </w:r>
      <w:r w:rsidR="009919A3" w:rsidRPr="00DD3E14">
        <w:rPr>
          <w:rFonts w:ascii="Rockwell" w:hAnsi="Rockwell"/>
        </w:rPr>
        <w:t xml:space="preserve"> is vital</w:t>
      </w:r>
      <w:r w:rsidRPr="00DD3E14">
        <w:rPr>
          <w:rFonts w:ascii="Rockwell" w:hAnsi="Rockwell"/>
        </w:rPr>
        <w:t>.</w:t>
      </w:r>
    </w:p>
    <w:p w14:paraId="638C33CC" w14:textId="3EEBA5C9" w:rsidR="00DD3E14" w:rsidRDefault="00DD3E14" w:rsidP="00DD3E14">
      <w:pPr>
        <w:pStyle w:val="ListParagraph"/>
        <w:numPr>
          <w:ilvl w:val="1"/>
          <w:numId w:val="7"/>
        </w:numPr>
        <w:rPr>
          <w:rFonts w:ascii="Rockwell" w:hAnsi="Rockwell"/>
        </w:rPr>
      </w:pPr>
      <w:r w:rsidRPr="00DD3E14">
        <w:rPr>
          <w:rFonts w:ascii="Rockwell" w:hAnsi="Rockwell"/>
        </w:rPr>
        <w:t>Academic programs have reported evidence that specific competency sign-off can be obtained within a simulated environment. In alignment with accreditation requirements, academic programs should explore the possibility of models that involve such sign-off and network with other programs to identify steps and evidence to accomplish this. Such efforts would facilitate new models for clinical placements and a potential reduction in clinical hour requirements.</w:t>
      </w:r>
    </w:p>
    <w:p w14:paraId="7143E3DD" w14:textId="77777777" w:rsidR="00DD3E14" w:rsidRPr="00DD3E14" w:rsidRDefault="00DD3E14" w:rsidP="00DD3E14">
      <w:pPr>
        <w:pStyle w:val="ListParagraph"/>
        <w:ind w:left="1080"/>
        <w:rPr>
          <w:rFonts w:ascii="Rockwell" w:hAnsi="Rockwell"/>
        </w:rPr>
      </w:pPr>
    </w:p>
    <w:p w14:paraId="6DC60BCF" w14:textId="70F3B594" w:rsidR="008C283A" w:rsidRPr="00DD3E14" w:rsidRDefault="007A410B" w:rsidP="00607983">
      <w:pPr>
        <w:pStyle w:val="ListParagraph"/>
        <w:numPr>
          <w:ilvl w:val="0"/>
          <w:numId w:val="7"/>
        </w:numPr>
        <w:rPr>
          <w:rFonts w:ascii="Rockwell" w:hAnsi="Rockwell"/>
          <w:b/>
        </w:rPr>
      </w:pPr>
      <w:r w:rsidRPr="00DD3E14">
        <w:rPr>
          <w:rFonts w:ascii="Rockwell" w:hAnsi="Rockwell"/>
          <w:b/>
        </w:rPr>
        <w:t xml:space="preserve">MLAs and MLTs </w:t>
      </w:r>
      <w:r w:rsidR="00607983" w:rsidRPr="00DD3E14">
        <w:rPr>
          <w:rFonts w:ascii="Rockwell" w:hAnsi="Rockwell"/>
          <w:b/>
        </w:rPr>
        <w:t xml:space="preserve">working in </w:t>
      </w:r>
      <w:r w:rsidRPr="00DD3E14">
        <w:rPr>
          <w:rFonts w:ascii="Rockwell" w:hAnsi="Rockwell"/>
          <w:b/>
        </w:rPr>
        <w:t xml:space="preserve">the </w:t>
      </w:r>
      <w:r w:rsidR="00607983" w:rsidRPr="00DD3E14">
        <w:rPr>
          <w:rFonts w:ascii="Rockwell" w:hAnsi="Rockwell"/>
          <w:b/>
        </w:rPr>
        <w:t xml:space="preserve">clinical environment </w:t>
      </w:r>
      <w:r w:rsidRPr="00DD3E14">
        <w:rPr>
          <w:rFonts w:ascii="Rockwell" w:hAnsi="Rockwell"/>
          <w:b/>
        </w:rPr>
        <w:t xml:space="preserve">with students help shape the professional pride and practice of the future workforce. Efforts to create a working environment that is supportive of this </w:t>
      </w:r>
      <w:r w:rsidR="008C283A" w:rsidRPr="00DD3E14">
        <w:rPr>
          <w:rFonts w:ascii="Rockwell" w:hAnsi="Rockwell"/>
          <w:b/>
        </w:rPr>
        <w:t xml:space="preserve">and the </w:t>
      </w:r>
      <w:r w:rsidR="007B0D80" w:rsidRPr="00DD3E14">
        <w:rPr>
          <w:rFonts w:ascii="Rockwell" w:hAnsi="Rockwell"/>
          <w:b/>
        </w:rPr>
        <w:t>C</w:t>
      </w:r>
      <w:r w:rsidR="008C283A" w:rsidRPr="00DD3E14">
        <w:rPr>
          <w:rFonts w:ascii="Rockwell" w:hAnsi="Rockwell"/>
          <w:b/>
        </w:rPr>
        <w:t xml:space="preserve">all to </w:t>
      </w:r>
      <w:r w:rsidR="007B0D80" w:rsidRPr="00DD3E14">
        <w:rPr>
          <w:rFonts w:ascii="Rockwell" w:hAnsi="Rockwell"/>
          <w:b/>
        </w:rPr>
        <w:t>A</w:t>
      </w:r>
      <w:r w:rsidR="008C283A" w:rsidRPr="00DD3E14">
        <w:rPr>
          <w:rFonts w:ascii="Rockwell" w:hAnsi="Rockwell"/>
          <w:b/>
        </w:rPr>
        <w:t xml:space="preserve">ction are </w:t>
      </w:r>
      <w:r w:rsidRPr="00DD3E14">
        <w:rPr>
          <w:rFonts w:ascii="Rockwell" w:hAnsi="Rockwell"/>
          <w:b/>
        </w:rPr>
        <w:t xml:space="preserve">imperative to the </w:t>
      </w:r>
      <w:r w:rsidR="008C283A" w:rsidRPr="00DD3E14">
        <w:rPr>
          <w:rFonts w:ascii="Rockwell" w:hAnsi="Rockwell"/>
          <w:b/>
        </w:rPr>
        <w:t>change process. CSMLS asks that you continue to support each other locally during this critical period</w:t>
      </w:r>
      <w:r w:rsidR="007B0D80" w:rsidRPr="00DD3E14">
        <w:rPr>
          <w:rFonts w:ascii="Rockwell" w:hAnsi="Rockwell"/>
          <w:b/>
        </w:rPr>
        <w:t xml:space="preserve">, identify areas for change </w:t>
      </w:r>
      <w:r w:rsidR="008C283A" w:rsidRPr="00DD3E14">
        <w:rPr>
          <w:rFonts w:ascii="Rockwell" w:hAnsi="Rockwell"/>
          <w:b/>
        </w:rPr>
        <w:t>and communicate innovative projects</w:t>
      </w:r>
      <w:r w:rsidR="007B0D80" w:rsidRPr="00DD3E14">
        <w:rPr>
          <w:rFonts w:ascii="Rockwell" w:hAnsi="Rockwell"/>
          <w:b/>
        </w:rPr>
        <w:t>/</w:t>
      </w:r>
      <w:r w:rsidR="008C283A" w:rsidRPr="00DD3E14">
        <w:rPr>
          <w:rFonts w:ascii="Rockwell" w:hAnsi="Rockwell"/>
          <w:b/>
        </w:rPr>
        <w:t xml:space="preserve">solutions to your peers nationally. </w:t>
      </w:r>
    </w:p>
    <w:p w14:paraId="77DBAC00" w14:textId="2FA699A4" w:rsidR="007A410B" w:rsidRPr="00DD3E14" w:rsidRDefault="008C283A" w:rsidP="008C283A">
      <w:pPr>
        <w:pStyle w:val="ListParagraph"/>
        <w:numPr>
          <w:ilvl w:val="1"/>
          <w:numId w:val="7"/>
        </w:numPr>
        <w:rPr>
          <w:rFonts w:ascii="Rockwell" w:hAnsi="Rockwell"/>
        </w:rPr>
      </w:pPr>
      <w:r w:rsidRPr="00DD3E14">
        <w:rPr>
          <w:rFonts w:ascii="Rockwell" w:hAnsi="Rockwell"/>
        </w:rPr>
        <w:t>When notified, CSMLS will support the dissemination of efforts to members in accordance with CSMLS policy.</w:t>
      </w:r>
    </w:p>
    <w:p w14:paraId="6710842D" w14:textId="77777777" w:rsidR="007B0D80" w:rsidRPr="00DD3E14" w:rsidRDefault="007B0D80" w:rsidP="007B0D80">
      <w:pPr>
        <w:pStyle w:val="ListParagraph"/>
        <w:numPr>
          <w:ilvl w:val="1"/>
          <w:numId w:val="7"/>
        </w:numPr>
        <w:rPr>
          <w:rFonts w:ascii="Rockwell" w:hAnsi="Rockwell"/>
        </w:rPr>
      </w:pPr>
      <w:r w:rsidRPr="00DD3E14">
        <w:rPr>
          <w:rFonts w:ascii="Rockwell" w:hAnsi="Rockwell"/>
        </w:rPr>
        <w:t>Ensure best-practice methods are used when training students in the clinical environment. When this cannot be achieved, notify your supervisor/manager (in accordance with local policies) as soon as possible to seek solutions that support your work as well as the training of students. Provide the supervisor/manager with a copy of this Call to Action to support your case for change.</w:t>
      </w:r>
    </w:p>
    <w:p w14:paraId="5A0D6F9B" w14:textId="5E2F45FC" w:rsidR="00607983" w:rsidRPr="00DD3E14" w:rsidRDefault="008C283A" w:rsidP="007B0D80">
      <w:pPr>
        <w:pStyle w:val="ListParagraph"/>
        <w:numPr>
          <w:ilvl w:val="1"/>
          <w:numId w:val="7"/>
        </w:numPr>
        <w:rPr>
          <w:rFonts w:ascii="Rockwell" w:hAnsi="Rockwell"/>
        </w:rPr>
      </w:pPr>
      <w:r w:rsidRPr="00DD3E14">
        <w:rPr>
          <w:rFonts w:ascii="Rockwell" w:hAnsi="Rockwell"/>
        </w:rPr>
        <w:t xml:space="preserve">As conducted by MLPs, it is the professional’s </w:t>
      </w:r>
      <w:r w:rsidR="007A410B" w:rsidRPr="00DD3E14">
        <w:rPr>
          <w:rFonts w:ascii="Rockwell" w:hAnsi="Rockwell"/>
        </w:rPr>
        <w:t xml:space="preserve">responsibility to uphold their actions to the </w:t>
      </w:r>
      <w:hyperlink r:id="rId17" w:history="1">
        <w:r w:rsidR="007A410B" w:rsidRPr="00DD3E14">
          <w:rPr>
            <w:rStyle w:val="Hyperlink"/>
            <w:rFonts w:ascii="Rockwell" w:hAnsi="Rockwell"/>
          </w:rPr>
          <w:t>Standards of Practice</w:t>
        </w:r>
      </w:hyperlink>
      <w:r w:rsidR="007A410B" w:rsidRPr="00DD3E14">
        <w:rPr>
          <w:rFonts w:ascii="Rockwell" w:hAnsi="Rockwell"/>
        </w:rPr>
        <w:t xml:space="preserve">, </w:t>
      </w:r>
      <w:hyperlink r:id="rId18" w:history="1">
        <w:r w:rsidR="007A410B" w:rsidRPr="00DD3E14">
          <w:rPr>
            <w:rStyle w:val="Hyperlink"/>
            <w:rFonts w:ascii="Rockwell" w:hAnsi="Rockwell"/>
          </w:rPr>
          <w:t>Code of Professional Conduct</w:t>
        </w:r>
      </w:hyperlink>
      <w:r w:rsidR="007A410B" w:rsidRPr="00DD3E14">
        <w:rPr>
          <w:rFonts w:ascii="Rockwell" w:hAnsi="Rockwell"/>
        </w:rPr>
        <w:t xml:space="preserve"> and </w:t>
      </w:r>
      <w:hyperlink r:id="rId19" w:history="1">
        <w:r w:rsidR="007A410B" w:rsidRPr="00DD3E14">
          <w:rPr>
            <w:rStyle w:val="Hyperlink"/>
            <w:rFonts w:ascii="Rockwell" w:hAnsi="Rockwell"/>
          </w:rPr>
          <w:t>Code of Ethics</w:t>
        </w:r>
      </w:hyperlink>
      <w:r w:rsidR="007A410B" w:rsidRPr="00DD3E14">
        <w:rPr>
          <w:rFonts w:ascii="Rockwell" w:hAnsi="Rockwell"/>
        </w:rPr>
        <w:t>.</w:t>
      </w:r>
    </w:p>
    <w:p w14:paraId="5CA89459" w14:textId="77777777" w:rsidR="00FF3624" w:rsidRPr="00DD3E14" w:rsidRDefault="00FF3624" w:rsidP="004A42EE">
      <w:pPr>
        <w:pStyle w:val="ListParagraph"/>
        <w:ind w:left="360"/>
        <w:rPr>
          <w:rFonts w:ascii="Rockwell" w:hAnsi="Rockwell"/>
          <w:b/>
        </w:rPr>
      </w:pPr>
    </w:p>
    <w:p w14:paraId="499AD3DD" w14:textId="2352B3F8" w:rsidR="006A2986" w:rsidRPr="00DD3E14" w:rsidRDefault="006B4A8A" w:rsidP="00682974">
      <w:pPr>
        <w:rPr>
          <w:rFonts w:ascii="Rockwell" w:hAnsi="Rockwell"/>
        </w:rPr>
      </w:pPr>
      <w:r w:rsidRPr="00DD3E14">
        <w:rPr>
          <w:rFonts w:ascii="Rockwell" w:hAnsi="Rockwell"/>
        </w:rPr>
        <w:t>CSMLS</w:t>
      </w:r>
      <w:r w:rsidR="006A2986" w:rsidRPr="00DD3E14">
        <w:rPr>
          <w:rFonts w:ascii="Rockwell" w:hAnsi="Rockwell"/>
        </w:rPr>
        <w:t xml:space="preserve"> firmly </w:t>
      </w:r>
      <w:r w:rsidR="008C283A" w:rsidRPr="00DD3E14">
        <w:rPr>
          <w:rFonts w:ascii="Rockwell" w:hAnsi="Rockwell"/>
        </w:rPr>
        <w:t xml:space="preserve">stands by the need for </w:t>
      </w:r>
      <w:r w:rsidR="006A2986" w:rsidRPr="00DD3E14">
        <w:rPr>
          <w:rFonts w:ascii="Rockwell" w:hAnsi="Rockwell"/>
        </w:rPr>
        <w:t xml:space="preserve">large-scale transformation to </w:t>
      </w:r>
      <w:r w:rsidR="008C283A" w:rsidRPr="00DD3E14">
        <w:rPr>
          <w:rFonts w:ascii="Rockwell" w:hAnsi="Rockwell"/>
        </w:rPr>
        <w:t>combat the HHR shortage and</w:t>
      </w:r>
      <w:r w:rsidR="00D92661" w:rsidRPr="00DD3E14">
        <w:rPr>
          <w:rFonts w:ascii="Rockwell" w:hAnsi="Rockwell"/>
        </w:rPr>
        <w:t xml:space="preserve"> the</w:t>
      </w:r>
      <w:r w:rsidR="008C283A" w:rsidRPr="00DD3E14">
        <w:rPr>
          <w:rFonts w:ascii="Rockwell" w:hAnsi="Rockwell"/>
        </w:rPr>
        <w:t xml:space="preserve"> impact it has on MLTs, MLAs</w:t>
      </w:r>
      <w:r w:rsidR="007B0D80" w:rsidRPr="00DD3E14">
        <w:rPr>
          <w:rFonts w:ascii="Rockwell" w:hAnsi="Rockwell"/>
        </w:rPr>
        <w:t>, patients</w:t>
      </w:r>
      <w:r w:rsidR="008C283A" w:rsidRPr="00DD3E14">
        <w:rPr>
          <w:rFonts w:ascii="Rockwell" w:hAnsi="Rockwell"/>
        </w:rPr>
        <w:t xml:space="preserve"> and other laboratory stakeholders. A</w:t>
      </w:r>
      <w:r w:rsidR="006A2986" w:rsidRPr="00DD3E14">
        <w:rPr>
          <w:rFonts w:ascii="Rockwell" w:hAnsi="Rockwell"/>
        </w:rPr>
        <w:t xml:space="preserve">bove all, </w:t>
      </w:r>
      <w:r w:rsidR="008C283A" w:rsidRPr="00DD3E14">
        <w:rPr>
          <w:rFonts w:ascii="Rockwell" w:hAnsi="Rockwell"/>
        </w:rPr>
        <w:t xml:space="preserve">CSMLS is </w:t>
      </w:r>
      <w:r w:rsidR="006A2986" w:rsidRPr="00DD3E14">
        <w:rPr>
          <w:rFonts w:ascii="Rockwell" w:hAnsi="Rockwell"/>
        </w:rPr>
        <w:t xml:space="preserve">focused on </w:t>
      </w:r>
      <w:r w:rsidR="008C283A" w:rsidRPr="00DD3E14">
        <w:rPr>
          <w:rFonts w:ascii="Rockwell" w:hAnsi="Rockwell"/>
        </w:rPr>
        <w:t xml:space="preserve">supporting its members and the profession to meet the </w:t>
      </w:r>
      <w:r w:rsidR="006A2986" w:rsidRPr="00DD3E14">
        <w:rPr>
          <w:rFonts w:ascii="Rockwell" w:hAnsi="Rockwell"/>
        </w:rPr>
        <w:t>needs of Canadians</w:t>
      </w:r>
      <w:r w:rsidR="008C283A" w:rsidRPr="00DD3E14">
        <w:rPr>
          <w:rFonts w:ascii="Rockwell" w:hAnsi="Rockwell"/>
        </w:rPr>
        <w:t xml:space="preserve">, ensuring </w:t>
      </w:r>
      <w:r w:rsidR="006A2986" w:rsidRPr="00DD3E14">
        <w:rPr>
          <w:rFonts w:ascii="Rockwell" w:hAnsi="Rockwell"/>
        </w:rPr>
        <w:t xml:space="preserve">high functioning </w:t>
      </w:r>
      <w:r w:rsidR="008C283A" w:rsidRPr="00DD3E14">
        <w:rPr>
          <w:rFonts w:ascii="Rockwell" w:hAnsi="Rockwell"/>
        </w:rPr>
        <w:t xml:space="preserve">laboratory </w:t>
      </w:r>
      <w:r w:rsidR="006A2986" w:rsidRPr="00DD3E14">
        <w:rPr>
          <w:rFonts w:ascii="Rockwell" w:hAnsi="Rockwell"/>
        </w:rPr>
        <w:t>teams</w:t>
      </w:r>
      <w:r w:rsidR="008C283A" w:rsidRPr="00DD3E14">
        <w:rPr>
          <w:rFonts w:ascii="Rockwell" w:hAnsi="Rockwell"/>
        </w:rPr>
        <w:t xml:space="preserve"> </w:t>
      </w:r>
      <w:r w:rsidR="006A2986" w:rsidRPr="00DD3E14">
        <w:rPr>
          <w:rFonts w:ascii="Rockwell" w:hAnsi="Rockwell"/>
        </w:rPr>
        <w:t xml:space="preserve">and </w:t>
      </w:r>
      <w:r w:rsidR="008C283A" w:rsidRPr="00DD3E14">
        <w:rPr>
          <w:rFonts w:ascii="Rockwell" w:hAnsi="Rockwell"/>
        </w:rPr>
        <w:t xml:space="preserve">the </w:t>
      </w:r>
      <w:r w:rsidR="006A2986" w:rsidRPr="00DD3E14">
        <w:rPr>
          <w:rFonts w:ascii="Rockwell" w:hAnsi="Rockwell"/>
        </w:rPr>
        <w:t>proactive, safe, effective</w:t>
      </w:r>
      <w:r w:rsidR="00006830" w:rsidRPr="00DD3E14">
        <w:rPr>
          <w:rFonts w:ascii="Rockwell" w:hAnsi="Rockwell"/>
        </w:rPr>
        <w:t xml:space="preserve"> and</w:t>
      </w:r>
      <w:r w:rsidR="006A2986" w:rsidRPr="00DD3E14">
        <w:rPr>
          <w:rFonts w:ascii="Rockwell" w:hAnsi="Rockwell"/>
        </w:rPr>
        <w:t xml:space="preserve"> affordable promotion </w:t>
      </w:r>
      <w:r w:rsidR="008C283A" w:rsidRPr="00DD3E14">
        <w:rPr>
          <w:rFonts w:ascii="Rockwell" w:hAnsi="Rockwell"/>
        </w:rPr>
        <w:t xml:space="preserve">of laboratory services </w:t>
      </w:r>
      <w:r w:rsidR="006A2986" w:rsidRPr="00DD3E14">
        <w:rPr>
          <w:rFonts w:ascii="Rockwell" w:hAnsi="Rockwell"/>
        </w:rPr>
        <w:t xml:space="preserve">that are informed by evidence and delivered in </w:t>
      </w:r>
      <w:r w:rsidR="008C283A" w:rsidRPr="00DD3E14">
        <w:rPr>
          <w:rFonts w:ascii="Rockwell" w:hAnsi="Rockwell"/>
        </w:rPr>
        <w:t>a timely manner across</w:t>
      </w:r>
      <w:r w:rsidR="00432C04" w:rsidRPr="00DD3E14">
        <w:rPr>
          <w:rFonts w:ascii="Rockwell" w:hAnsi="Rockwell"/>
        </w:rPr>
        <w:t xml:space="preserve"> the nation</w:t>
      </w:r>
      <w:r w:rsidR="008C283A" w:rsidRPr="00DD3E14">
        <w:rPr>
          <w:rFonts w:ascii="Rockwell" w:hAnsi="Rockwell"/>
        </w:rPr>
        <w:t>.</w:t>
      </w:r>
    </w:p>
    <w:p w14:paraId="55A5E0DF" w14:textId="57B0A06E" w:rsidR="006A2986" w:rsidRPr="00AA3B18" w:rsidRDefault="006A2986" w:rsidP="00682974">
      <w:pPr>
        <w:rPr>
          <w:color w:val="FF0000"/>
        </w:rPr>
      </w:pPr>
    </w:p>
    <w:sectPr w:rsidR="006A2986" w:rsidRPr="00AA3B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2A1DE" w14:textId="77777777" w:rsidR="00FE728E" w:rsidRDefault="00FE728E" w:rsidP="00E04394">
      <w:pPr>
        <w:spacing w:after="0" w:line="240" w:lineRule="auto"/>
      </w:pPr>
      <w:r>
        <w:separator/>
      </w:r>
    </w:p>
  </w:endnote>
  <w:endnote w:type="continuationSeparator" w:id="0">
    <w:p w14:paraId="71CC77AF" w14:textId="77777777" w:rsidR="00FE728E" w:rsidRDefault="00FE728E" w:rsidP="00E04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Rockwell,MinionPro-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19A31" w14:textId="77777777" w:rsidR="00FE728E" w:rsidRDefault="00FE728E" w:rsidP="00E04394">
      <w:pPr>
        <w:spacing w:after="0" w:line="240" w:lineRule="auto"/>
      </w:pPr>
      <w:r>
        <w:separator/>
      </w:r>
    </w:p>
  </w:footnote>
  <w:footnote w:type="continuationSeparator" w:id="0">
    <w:p w14:paraId="33DB016D" w14:textId="77777777" w:rsidR="00FE728E" w:rsidRDefault="00FE728E" w:rsidP="00E04394">
      <w:pPr>
        <w:spacing w:after="0" w:line="240" w:lineRule="auto"/>
      </w:pPr>
      <w:r>
        <w:continuationSeparator/>
      </w:r>
    </w:p>
  </w:footnote>
  <w:footnote w:id="1">
    <w:p w14:paraId="73510FDC" w14:textId="77777777" w:rsidR="003D7418" w:rsidRDefault="003D7418" w:rsidP="003E5523">
      <w:pPr>
        <w:pStyle w:val="FootnoteText"/>
      </w:pPr>
      <w:r>
        <w:rPr>
          <w:rStyle w:val="FootnoteReference"/>
        </w:rPr>
        <w:footnoteRef/>
      </w:r>
      <w:r>
        <w:t xml:space="preserve"> </w:t>
      </w:r>
      <w:r w:rsidRPr="00E93FC3">
        <w:rPr>
          <w:rFonts w:eastAsiaTheme="minorEastAsia"/>
          <w:sz w:val="18"/>
          <w:szCs w:val="18"/>
          <w:lang w:val="en-US"/>
        </w:rPr>
        <w:t>Sweetman A (2015). LABCON lunch plenary (Canadian Society for Medical Laboratory Science, CSMLS, Montreal</w:t>
      </w:r>
      <w:r>
        <w:rPr>
          <w:rFonts w:eastAsiaTheme="minorEastAsia"/>
          <w:sz w:val="18"/>
          <w:szCs w:val="18"/>
          <w:lang w:val="en-US"/>
        </w:rPr>
        <w:t>),</w:t>
      </w:r>
      <w:r w:rsidRPr="00E93FC3">
        <w:rPr>
          <w:rFonts w:eastAsiaTheme="minorEastAsia"/>
          <w:sz w:val="18"/>
          <w:szCs w:val="18"/>
          <w:lang w:val="en-US"/>
        </w:rPr>
        <w:t xml:space="preserve"> “Exploring the predicted increase in lab testing and the impending shortage of lab professionals”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2A9C"/>
    <w:multiLevelType w:val="hybridMultilevel"/>
    <w:tmpl w:val="AB766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9AA6D8D"/>
    <w:multiLevelType w:val="hybridMultilevel"/>
    <w:tmpl w:val="DC402484"/>
    <w:lvl w:ilvl="0" w:tplc="91B08DDE">
      <w:numFmt w:val="bullet"/>
      <w:lvlText w:val="•"/>
      <w:lvlJc w:val="left"/>
      <w:pPr>
        <w:ind w:left="1080" w:hanging="720"/>
      </w:pPr>
      <w:rPr>
        <w:rFonts w:ascii="Rockwell" w:eastAsiaTheme="minorEastAsia" w:hAnsi="Rockwel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33D86"/>
    <w:multiLevelType w:val="hybridMultilevel"/>
    <w:tmpl w:val="17BE4530"/>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223D4284"/>
    <w:multiLevelType w:val="hybridMultilevel"/>
    <w:tmpl w:val="05A633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BB57174"/>
    <w:multiLevelType w:val="hybridMultilevel"/>
    <w:tmpl w:val="2B8AB120"/>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9407ED1"/>
    <w:multiLevelType w:val="hybridMultilevel"/>
    <w:tmpl w:val="2B8AB120"/>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C0D7123"/>
    <w:multiLevelType w:val="hybridMultilevel"/>
    <w:tmpl w:val="8F1A4C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0E56349"/>
    <w:multiLevelType w:val="hybridMultilevel"/>
    <w:tmpl w:val="899CC2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02C6810"/>
    <w:multiLevelType w:val="hybridMultilevel"/>
    <w:tmpl w:val="CC929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ADC745C"/>
    <w:multiLevelType w:val="hybridMultilevel"/>
    <w:tmpl w:val="4BD0CEF4"/>
    <w:lvl w:ilvl="0" w:tplc="91B08DDE">
      <w:numFmt w:val="bullet"/>
      <w:lvlText w:val="•"/>
      <w:lvlJc w:val="left"/>
      <w:pPr>
        <w:ind w:left="1080" w:hanging="720"/>
      </w:pPr>
      <w:rPr>
        <w:rFonts w:ascii="Rockwell" w:eastAsiaTheme="minorEastAsia" w:hAnsi="Rockwel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C00F8F"/>
    <w:multiLevelType w:val="hybridMultilevel"/>
    <w:tmpl w:val="271252A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73874558"/>
    <w:multiLevelType w:val="hybridMultilevel"/>
    <w:tmpl w:val="E1E49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E5B39B4"/>
    <w:multiLevelType w:val="hybridMultilevel"/>
    <w:tmpl w:val="EA403832"/>
    <w:lvl w:ilvl="0" w:tplc="550AF62C">
      <w:start w:val="1"/>
      <w:numFmt w:val="bullet"/>
      <w:lvlText w:val="•"/>
      <w:lvlJc w:val="left"/>
      <w:pPr>
        <w:tabs>
          <w:tab w:val="num" w:pos="720"/>
        </w:tabs>
        <w:ind w:left="720" w:hanging="360"/>
      </w:pPr>
      <w:rPr>
        <w:rFonts w:ascii="Times New Roman" w:hAnsi="Times New Roman" w:hint="default"/>
      </w:rPr>
    </w:lvl>
    <w:lvl w:ilvl="1" w:tplc="B7AA9196">
      <w:start w:val="1"/>
      <w:numFmt w:val="bullet"/>
      <w:lvlText w:val="•"/>
      <w:lvlJc w:val="left"/>
      <w:pPr>
        <w:tabs>
          <w:tab w:val="num" w:pos="1440"/>
        </w:tabs>
        <w:ind w:left="1440" w:hanging="360"/>
      </w:pPr>
      <w:rPr>
        <w:rFonts w:ascii="Times New Roman" w:hAnsi="Times New Roman" w:hint="default"/>
      </w:rPr>
    </w:lvl>
    <w:lvl w:ilvl="2" w:tplc="CA84C3CA" w:tentative="1">
      <w:start w:val="1"/>
      <w:numFmt w:val="bullet"/>
      <w:lvlText w:val="•"/>
      <w:lvlJc w:val="left"/>
      <w:pPr>
        <w:tabs>
          <w:tab w:val="num" w:pos="2160"/>
        </w:tabs>
        <w:ind w:left="2160" w:hanging="360"/>
      </w:pPr>
      <w:rPr>
        <w:rFonts w:ascii="Times New Roman" w:hAnsi="Times New Roman" w:hint="default"/>
      </w:rPr>
    </w:lvl>
    <w:lvl w:ilvl="3" w:tplc="BF3A9F5A" w:tentative="1">
      <w:start w:val="1"/>
      <w:numFmt w:val="bullet"/>
      <w:lvlText w:val="•"/>
      <w:lvlJc w:val="left"/>
      <w:pPr>
        <w:tabs>
          <w:tab w:val="num" w:pos="2880"/>
        </w:tabs>
        <w:ind w:left="2880" w:hanging="360"/>
      </w:pPr>
      <w:rPr>
        <w:rFonts w:ascii="Times New Roman" w:hAnsi="Times New Roman" w:hint="default"/>
      </w:rPr>
    </w:lvl>
    <w:lvl w:ilvl="4" w:tplc="D14C0F14" w:tentative="1">
      <w:start w:val="1"/>
      <w:numFmt w:val="bullet"/>
      <w:lvlText w:val="•"/>
      <w:lvlJc w:val="left"/>
      <w:pPr>
        <w:tabs>
          <w:tab w:val="num" w:pos="3600"/>
        </w:tabs>
        <w:ind w:left="3600" w:hanging="360"/>
      </w:pPr>
      <w:rPr>
        <w:rFonts w:ascii="Times New Roman" w:hAnsi="Times New Roman" w:hint="default"/>
      </w:rPr>
    </w:lvl>
    <w:lvl w:ilvl="5" w:tplc="AD3413F8" w:tentative="1">
      <w:start w:val="1"/>
      <w:numFmt w:val="bullet"/>
      <w:lvlText w:val="•"/>
      <w:lvlJc w:val="left"/>
      <w:pPr>
        <w:tabs>
          <w:tab w:val="num" w:pos="4320"/>
        </w:tabs>
        <w:ind w:left="4320" w:hanging="360"/>
      </w:pPr>
      <w:rPr>
        <w:rFonts w:ascii="Times New Roman" w:hAnsi="Times New Roman" w:hint="default"/>
      </w:rPr>
    </w:lvl>
    <w:lvl w:ilvl="6" w:tplc="972ACBCA" w:tentative="1">
      <w:start w:val="1"/>
      <w:numFmt w:val="bullet"/>
      <w:lvlText w:val="•"/>
      <w:lvlJc w:val="left"/>
      <w:pPr>
        <w:tabs>
          <w:tab w:val="num" w:pos="5040"/>
        </w:tabs>
        <w:ind w:left="5040" w:hanging="360"/>
      </w:pPr>
      <w:rPr>
        <w:rFonts w:ascii="Times New Roman" w:hAnsi="Times New Roman" w:hint="default"/>
      </w:rPr>
    </w:lvl>
    <w:lvl w:ilvl="7" w:tplc="BC5ED724" w:tentative="1">
      <w:start w:val="1"/>
      <w:numFmt w:val="bullet"/>
      <w:lvlText w:val="•"/>
      <w:lvlJc w:val="left"/>
      <w:pPr>
        <w:tabs>
          <w:tab w:val="num" w:pos="5760"/>
        </w:tabs>
        <w:ind w:left="5760" w:hanging="360"/>
      </w:pPr>
      <w:rPr>
        <w:rFonts w:ascii="Times New Roman" w:hAnsi="Times New Roman" w:hint="default"/>
      </w:rPr>
    </w:lvl>
    <w:lvl w:ilvl="8" w:tplc="0E7A9D2E"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9"/>
  </w:num>
  <w:num w:numId="3">
    <w:abstractNumId w:val="1"/>
  </w:num>
  <w:num w:numId="4">
    <w:abstractNumId w:val="3"/>
  </w:num>
  <w:num w:numId="5">
    <w:abstractNumId w:val="6"/>
  </w:num>
  <w:num w:numId="6">
    <w:abstractNumId w:val="7"/>
  </w:num>
  <w:num w:numId="7">
    <w:abstractNumId w:val="2"/>
  </w:num>
  <w:num w:numId="8">
    <w:abstractNumId w:val="4"/>
  </w:num>
  <w:num w:numId="9">
    <w:abstractNumId w:val="10"/>
  </w:num>
  <w:num w:numId="10">
    <w:abstractNumId w:val="8"/>
  </w:num>
  <w:num w:numId="11">
    <w:abstractNumId w:val="1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TA0t7A0MbI0NjcyNjVR0lEKTi0uzszPAykwNK4FAGJATGItAAAA"/>
  </w:docVars>
  <w:rsids>
    <w:rsidRoot w:val="00A45E4A"/>
    <w:rsid w:val="00006830"/>
    <w:rsid w:val="00011B70"/>
    <w:rsid w:val="00037957"/>
    <w:rsid w:val="000505A8"/>
    <w:rsid w:val="00061772"/>
    <w:rsid w:val="00065125"/>
    <w:rsid w:val="000669A2"/>
    <w:rsid w:val="000A1DB5"/>
    <w:rsid w:val="000E6EF0"/>
    <w:rsid w:val="001012C6"/>
    <w:rsid w:val="001265F3"/>
    <w:rsid w:val="00133679"/>
    <w:rsid w:val="00155F2A"/>
    <w:rsid w:val="00182BA2"/>
    <w:rsid w:val="001833DD"/>
    <w:rsid w:val="0018471C"/>
    <w:rsid w:val="001900CF"/>
    <w:rsid w:val="00192E6A"/>
    <w:rsid w:val="001A00BD"/>
    <w:rsid w:val="001A667B"/>
    <w:rsid w:val="001C321D"/>
    <w:rsid w:val="001D36B0"/>
    <w:rsid w:val="00201589"/>
    <w:rsid w:val="00206D81"/>
    <w:rsid w:val="002379A8"/>
    <w:rsid w:val="0026240E"/>
    <w:rsid w:val="00280890"/>
    <w:rsid w:val="00290D30"/>
    <w:rsid w:val="002A5334"/>
    <w:rsid w:val="002A6D4D"/>
    <w:rsid w:val="002C398B"/>
    <w:rsid w:val="002E4126"/>
    <w:rsid w:val="002F548B"/>
    <w:rsid w:val="00330BDA"/>
    <w:rsid w:val="00337620"/>
    <w:rsid w:val="003559A8"/>
    <w:rsid w:val="00355E02"/>
    <w:rsid w:val="00386748"/>
    <w:rsid w:val="00387FC9"/>
    <w:rsid w:val="003B1F59"/>
    <w:rsid w:val="003B4692"/>
    <w:rsid w:val="003D7418"/>
    <w:rsid w:val="003E5523"/>
    <w:rsid w:val="00411DA6"/>
    <w:rsid w:val="00432C04"/>
    <w:rsid w:val="004768DA"/>
    <w:rsid w:val="004A42EE"/>
    <w:rsid w:val="004B69D3"/>
    <w:rsid w:val="004C132B"/>
    <w:rsid w:val="004C4B8C"/>
    <w:rsid w:val="004E207C"/>
    <w:rsid w:val="004F1A52"/>
    <w:rsid w:val="004F4183"/>
    <w:rsid w:val="0050002F"/>
    <w:rsid w:val="0051163B"/>
    <w:rsid w:val="0053011C"/>
    <w:rsid w:val="00547FC0"/>
    <w:rsid w:val="005825DE"/>
    <w:rsid w:val="00586982"/>
    <w:rsid w:val="005941DA"/>
    <w:rsid w:val="005B24B5"/>
    <w:rsid w:val="005B3272"/>
    <w:rsid w:val="005E3169"/>
    <w:rsid w:val="005E605A"/>
    <w:rsid w:val="00607983"/>
    <w:rsid w:val="00632DAB"/>
    <w:rsid w:val="0064240F"/>
    <w:rsid w:val="00652A89"/>
    <w:rsid w:val="00682974"/>
    <w:rsid w:val="006A2986"/>
    <w:rsid w:val="006B4A8A"/>
    <w:rsid w:val="006B581D"/>
    <w:rsid w:val="006B6FDC"/>
    <w:rsid w:val="006C7B7C"/>
    <w:rsid w:val="006D3542"/>
    <w:rsid w:val="006D4A33"/>
    <w:rsid w:val="006E0470"/>
    <w:rsid w:val="006E3F4D"/>
    <w:rsid w:val="006F30BE"/>
    <w:rsid w:val="007252B0"/>
    <w:rsid w:val="00733AC9"/>
    <w:rsid w:val="007972C6"/>
    <w:rsid w:val="007A410B"/>
    <w:rsid w:val="007A504D"/>
    <w:rsid w:val="007B0D80"/>
    <w:rsid w:val="007E06F3"/>
    <w:rsid w:val="00821C30"/>
    <w:rsid w:val="00856711"/>
    <w:rsid w:val="0087694A"/>
    <w:rsid w:val="00897D51"/>
    <w:rsid w:val="008A6ACD"/>
    <w:rsid w:val="008C283A"/>
    <w:rsid w:val="008D57F0"/>
    <w:rsid w:val="008E2EE5"/>
    <w:rsid w:val="00906C3D"/>
    <w:rsid w:val="00913DC5"/>
    <w:rsid w:val="00941327"/>
    <w:rsid w:val="0095435B"/>
    <w:rsid w:val="0096027E"/>
    <w:rsid w:val="009602F7"/>
    <w:rsid w:val="009722B2"/>
    <w:rsid w:val="00976BD2"/>
    <w:rsid w:val="00985AE8"/>
    <w:rsid w:val="009919A3"/>
    <w:rsid w:val="009A652B"/>
    <w:rsid w:val="009B0CFC"/>
    <w:rsid w:val="009C11CA"/>
    <w:rsid w:val="009C2C69"/>
    <w:rsid w:val="009C42EE"/>
    <w:rsid w:val="00A07FF7"/>
    <w:rsid w:val="00A25983"/>
    <w:rsid w:val="00A35360"/>
    <w:rsid w:val="00A441E4"/>
    <w:rsid w:val="00A45E4A"/>
    <w:rsid w:val="00A80A30"/>
    <w:rsid w:val="00AA3B18"/>
    <w:rsid w:val="00AD276C"/>
    <w:rsid w:val="00AE19EE"/>
    <w:rsid w:val="00AF2E02"/>
    <w:rsid w:val="00AF6EF6"/>
    <w:rsid w:val="00B02EB3"/>
    <w:rsid w:val="00B2446A"/>
    <w:rsid w:val="00B613BE"/>
    <w:rsid w:val="00B9623D"/>
    <w:rsid w:val="00B9794E"/>
    <w:rsid w:val="00BE2AA2"/>
    <w:rsid w:val="00BE4309"/>
    <w:rsid w:val="00C01371"/>
    <w:rsid w:val="00C120D3"/>
    <w:rsid w:val="00C2030E"/>
    <w:rsid w:val="00C25854"/>
    <w:rsid w:val="00C318B2"/>
    <w:rsid w:val="00C31A65"/>
    <w:rsid w:val="00C63E61"/>
    <w:rsid w:val="00C66C59"/>
    <w:rsid w:val="00C74716"/>
    <w:rsid w:val="00C81386"/>
    <w:rsid w:val="00C9404A"/>
    <w:rsid w:val="00CC6E7D"/>
    <w:rsid w:val="00CE3519"/>
    <w:rsid w:val="00D64703"/>
    <w:rsid w:val="00D92661"/>
    <w:rsid w:val="00DA33F0"/>
    <w:rsid w:val="00DD2C35"/>
    <w:rsid w:val="00DD3E14"/>
    <w:rsid w:val="00E04394"/>
    <w:rsid w:val="00E05861"/>
    <w:rsid w:val="00E356C5"/>
    <w:rsid w:val="00E360C1"/>
    <w:rsid w:val="00E77E40"/>
    <w:rsid w:val="00E81FA3"/>
    <w:rsid w:val="00E87FD6"/>
    <w:rsid w:val="00F64E35"/>
    <w:rsid w:val="00F77948"/>
    <w:rsid w:val="00F77FE2"/>
    <w:rsid w:val="00F914BD"/>
    <w:rsid w:val="00F91DD3"/>
    <w:rsid w:val="00F946EF"/>
    <w:rsid w:val="00F959EC"/>
    <w:rsid w:val="00FD2F3B"/>
    <w:rsid w:val="00FE728E"/>
    <w:rsid w:val="00FF1019"/>
    <w:rsid w:val="00FF36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1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5E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MLS-Body">
    <w:name w:val="CSMLS-Body"/>
    <w:qFormat/>
    <w:rsid w:val="00A45E4A"/>
    <w:pPr>
      <w:spacing w:line="240" w:lineRule="auto"/>
    </w:pPr>
    <w:rPr>
      <w:rFonts w:ascii="Rockwell" w:eastAsia="MS Mincho" w:hAnsi="Rockwell" w:cs="Times New Roman"/>
      <w:szCs w:val="20"/>
    </w:rPr>
  </w:style>
  <w:style w:type="character" w:customStyle="1" w:styleId="Heading1Char">
    <w:name w:val="Heading 1 Char"/>
    <w:basedOn w:val="DefaultParagraphFont"/>
    <w:link w:val="Heading1"/>
    <w:uiPriority w:val="9"/>
    <w:rsid w:val="00A45E4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A45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45E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E4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825DE"/>
    <w:rPr>
      <w:color w:val="0563C1" w:themeColor="hyperlink"/>
      <w:u w:val="single"/>
    </w:rPr>
  </w:style>
  <w:style w:type="character" w:customStyle="1" w:styleId="UnresolvedMention1">
    <w:name w:val="Unresolved Mention1"/>
    <w:basedOn w:val="DefaultParagraphFont"/>
    <w:uiPriority w:val="99"/>
    <w:semiHidden/>
    <w:unhideWhenUsed/>
    <w:rsid w:val="005825DE"/>
    <w:rPr>
      <w:color w:val="808080"/>
      <w:shd w:val="clear" w:color="auto" w:fill="E6E6E6"/>
    </w:rPr>
  </w:style>
  <w:style w:type="character" w:styleId="CommentReference">
    <w:name w:val="annotation reference"/>
    <w:basedOn w:val="DefaultParagraphFont"/>
    <w:uiPriority w:val="99"/>
    <w:semiHidden/>
    <w:unhideWhenUsed/>
    <w:rsid w:val="005825DE"/>
    <w:rPr>
      <w:sz w:val="16"/>
      <w:szCs w:val="16"/>
    </w:rPr>
  </w:style>
  <w:style w:type="paragraph" w:styleId="CommentText">
    <w:name w:val="annotation text"/>
    <w:basedOn w:val="Normal"/>
    <w:link w:val="CommentTextChar"/>
    <w:uiPriority w:val="99"/>
    <w:semiHidden/>
    <w:unhideWhenUsed/>
    <w:rsid w:val="005825DE"/>
    <w:pPr>
      <w:spacing w:line="240" w:lineRule="auto"/>
    </w:pPr>
    <w:rPr>
      <w:sz w:val="20"/>
      <w:szCs w:val="20"/>
    </w:rPr>
  </w:style>
  <w:style w:type="character" w:customStyle="1" w:styleId="CommentTextChar">
    <w:name w:val="Comment Text Char"/>
    <w:basedOn w:val="DefaultParagraphFont"/>
    <w:link w:val="CommentText"/>
    <w:uiPriority w:val="99"/>
    <w:semiHidden/>
    <w:rsid w:val="005825DE"/>
    <w:rPr>
      <w:sz w:val="20"/>
      <w:szCs w:val="20"/>
    </w:rPr>
  </w:style>
  <w:style w:type="paragraph" w:styleId="CommentSubject">
    <w:name w:val="annotation subject"/>
    <w:basedOn w:val="CommentText"/>
    <w:next w:val="CommentText"/>
    <w:link w:val="CommentSubjectChar"/>
    <w:uiPriority w:val="99"/>
    <w:semiHidden/>
    <w:unhideWhenUsed/>
    <w:rsid w:val="005825DE"/>
    <w:rPr>
      <w:b/>
      <w:bCs/>
    </w:rPr>
  </w:style>
  <w:style w:type="character" w:customStyle="1" w:styleId="CommentSubjectChar">
    <w:name w:val="Comment Subject Char"/>
    <w:basedOn w:val="CommentTextChar"/>
    <w:link w:val="CommentSubject"/>
    <w:uiPriority w:val="99"/>
    <w:semiHidden/>
    <w:rsid w:val="005825DE"/>
    <w:rPr>
      <w:b/>
      <w:bCs/>
      <w:sz w:val="20"/>
      <w:szCs w:val="20"/>
    </w:rPr>
  </w:style>
  <w:style w:type="paragraph" w:styleId="BalloonText">
    <w:name w:val="Balloon Text"/>
    <w:basedOn w:val="Normal"/>
    <w:link w:val="BalloonTextChar"/>
    <w:uiPriority w:val="99"/>
    <w:semiHidden/>
    <w:unhideWhenUsed/>
    <w:rsid w:val="005825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5DE"/>
    <w:rPr>
      <w:rFonts w:ascii="Segoe UI" w:hAnsi="Segoe UI" w:cs="Segoe UI"/>
      <w:sz w:val="18"/>
      <w:szCs w:val="18"/>
    </w:rPr>
  </w:style>
  <w:style w:type="paragraph" w:styleId="ListParagraph">
    <w:name w:val="List Paragraph"/>
    <w:basedOn w:val="Normal"/>
    <w:uiPriority w:val="34"/>
    <w:qFormat/>
    <w:rsid w:val="00E04394"/>
    <w:pPr>
      <w:spacing w:after="200" w:line="276" w:lineRule="auto"/>
      <w:ind w:left="720"/>
      <w:contextualSpacing/>
    </w:pPr>
  </w:style>
  <w:style w:type="paragraph" w:styleId="FootnoteText">
    <w:name w:val="footnote text"/>
    <w:basedOn w:val="Normal"/>
    <w:link w:val="FootnoteTextChar"/>
    <w:uiPriority w:val="99"/>
    <w:unhideWhenUsed/>
    <w:rsid w:val="00E04394"/>
    <w:pPr>
      <w:spacing w:after="0" w:line="240" w:lineRule="auto"/>
    </w:pPr>
    <w:rPr>
      <w:sz w:val="20"/>
      <w:szCs w:val="20"/>
    </w:rPr>
  </w:style>
  <w:style w:type="character" w:customStyle="1" w:styleId="FootnoteTextChar">
    <w:name w:val="Footnote Text Char"/>
    <w:basedOn w:val="DefaultParagraphFont"/>
    <w:link w:val="FootnoteText"/>
    <w:uiPriority w:val="99"/>
    <w:rsid w:val="00E04394"/>
    <w:rPr>
      <w:sz w:val="20"/>
      <w:szCs w:val="20"/>
    </w:rPr>
  </w:style>
  <w:style w:type="character" w:styleId="FootnoteReference">
    <w:name w:val="footnote reference"/>
    <w:basedOn w:val="DefaultParagraphFont"/>
    <w:uiPriority w:val="99"/>
    <w:semiHidden/>
    <w:unhideWhenUsed/>
    <w:rsid w:val="00E04394"/>
    <w:rPr>
      <w:vertAlign w:val="superscript"/>
    </w:rPr>
  </w:style>
  <w:style w:type="paragraph" w:styleId="TOCHeading">
    <w:name w:val="TOC Heading"/>
    <w:basedOn w:val="Heading1"/>
    <w:next w:val="Normal"/>
    <w:uiPriority w:val="39"/>
    <w:unhideWhenUsed/>
    <w:qFormat/>
    <w:rsid w:val="000A1DB5"/>
    <w:pPr>
      <w:outlineLvl w:val="9"/>
    </w:pPr>
    <w:rPr>
      <w:lang w:val="en-US"/>
    </w:rPr>
  </w:style>
  <w:style w:type="paragraph" w:styleId="TOC1">
    <w:name w:val="toc 1"/>
    <w:basedOn w:val="Normal"/>
    <w:next w:val="Normal"/>
    <w:autoRedefine/>
    <w:uiPriority w:val="39"/>
    <w:unhideWhenUsed/>
    <w:rsid w:val="000A1DB5"/>
    <w:pPr>
      <w:spacing w:after="100"/>
    </w:pPr>
  </w:style>
  <w:style w:type="paragraph" w:styleId="NormalWeb">
    <w:name w:val="Normal (Web)"/>
    <w:basedOn w:val="Normal"/>
    <w:uiPriority w:val="99"/>
    <w:semiHidden/>
    <w:unhideWhenUsed/>
    <w:rsid w:val="00133679"/>
    <w:pPr>
      <w:spacing w:before="100" w:beforeAutospacing="1" w:after="100" w:afterAutospacing="1" w:line="240" w:lineRule="auto"/>
    </w:pPr>
    <w:rPr>
      <w:rFonts w:ascii="Times New Roman" w:eastAsiaTheme="minorEastAsia" w:hAnsi="Times New Roman" w:cs="Times New Roman"/>
      <w:sz w:val="24"/>
      <w:szCs w:val="24"/>
      <w:lang w:eastAsia="en-CA"/>
    </w:rPr>
  </w:style>
  <w:style w:type="character" w:styleId="Strong">
    <w:name w:val="Strong"/>
    <w:basedOn w:val="DefaultParagraphFont"/>
    <w:uiPriority w:val="22"/>
    <w:qFormat/>
    <w:rsid w:val="004768DA"/>
    <w:rPr>
      <w:b/>
      <w:bCs/>
    </w:rPr>
  </w:style>
  <w:style w:type="character" w:customStyle="1" w:styleId="currenthithighlight">
    <w:name w:val="currenthithighlight"/>
    <w:basedOn w:val="DefaultParagraphFont"/>
    <w:rsid w:val="00182BA2"/>
  </w:style>
  <w:style w:type="paragraph" w:styleId="Revision">
    <w:name w:val="Revision"/>
    <w:hidden/>
    <w:uiPriority w:val="99"/>
    <w:semiHidden/>
    <w:rsid w:val="004C132B"/>
    <w:pPr>
      <w:spacing w:after="0" w:line="240" w:lineRule="auto"/>
    </w:pPr>
  </w:style>
  <w:style w:type="character" w:customStyle="1" w:styleId="UnresolvedMention">
    <w:name w:val="Unresolved Mention"/>
    <w:basedOn w:val="DefaultParagraphFont"/>
    <w:uiPriority w:val="99"/>
    <w:semiHidden/>
    <w:unhideWhenUsed/>
    <w:rsid w:val="00F914B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5E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MLS-Body">
    <w:name w:val="CSMLS-Body"/>
    <w:qFormat/>
    <w:rsid w:val="00A45E4A"/>
    <w:pPr>
      <w:spacing w:line="240" w:lineRule="auto"/>
    </w:pPr>
    <w:rPr>
      <w:rFonts w:ascii="Rockwell" w:eastAsia="MS Mincho" w:hAnsi="Rockwell" w:cs="Times New Roman"/>
      <w:szCs w:val="20"/>
    </w:rPr>
  </w:style>
  <w:style w:type="character" w:customStyle="1" w:styleId="Heading1Char">
    <w:name w:val="Heading 1 Char"/>
    <w:basedOn w:val="DefaultParagraphFont"/>
    <w:link w:val="Heading1"/>
    <w:uiPriority w:val="9"/>
    <w:rsid w:val="00A45E4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A45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45E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E4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825DE"/>
    <w:rPr>
      <w:color w:val="0563C1" w:themeColor="hyperlink"/>
      <w:u w:val="single"/>
    </w:rPr>
  </w:style>
  <w:style w:type="character" w:customStyle="1" w:styleId="UnresolvedMention1">
    <w:name w:val="Unresolved Mention1"/>
    <w:basedOn w:val="DefaultParagraphFont"/>
    <w:uiPriority w:val="99"/>
    <w:semiHidden/>
    <w:unhideWhenUsed/>
    <w:rsid w:val="005825DE"/>
    <w:rPr>
      <w:color w:val="808080"/>
      <w:shd w:val="clear" w:color="auto" w:fill="E6E6E6"/>
    </w:rPr>
  </w:style>
  <w:style w:type="character" w:styleId="CommentReference">
    <w:name w:val="annotation reference"/>
    <w:basedOn w:val="DefaultParagraphFont"/>
    <w:uiPriority w:val="99"/>
    <w:semiHidden/>
    <w:unhideWhenUsed/>
    <w:rsid w:val="005825DE"/>
    <w:rPr>
      <w:sz w:val="16"/>
      <w:szCs w:val="16"/>
    </w:rPr>
  </w:style>
  <w:style w:type="paragraph" w:styleId="CommentText">
    <w:name w:val="annotation text"/>
    <w:basedOn w:val="Normal"/>
    <w:link w:val="CommentTextChar"/>
    <w:uiPriority w:val="99"/>
    <w:semiHidden/>
    <w:unhideWhenUsed/>
    <w:rsid w:val="005825DE"/>
    <w:pPr>
      <w:spacing w:line="240" w:lineRule="auto"/>
    </w:pPr>
    <w:rPr>
      <w:sz w:val="20"/>
      <w:szCs w:val="20"/>
    </w:rPr>
  </w:style>
  <w:style w:type="character" w:customStyle="1" w:styleId="CommentTextChar">
    <w:name w:val="Comment Text Char"/>
    <w:basedOn w:val="DefaultParagraphFont"/>
    <w:link w:val="CommentText"/>
    <w:uiPriority w:val="99"/>
    <w:semiHidden/>
    <w:rsid w:val="005825DE"/>
    <w:rPr>
      <w:sz w:val="20"/>
      <w:szCs w:val="20"/>
    </w:rPr>
  </w:style>
  <w:style w:type="paragraph" w:styleId="CommentSubject">
    <w:name w:val="annotation subject"/>
    <w:basedOn w:val="CommentText"/>
    <w:next w:val="CommentText"/>
    <w:link w:val="CommentSubjectChar"/>
    <w:uiPriority w:val="99"/>
    <w:semiHidden/>
    <w:unhideWhenUsed/>
    <w:rsid w:val="005825DE"/>
    <w:rPr>
      <w:b/>
      <w:bCs/>
    </w:rPr>
  </w:style>
  <w:style w:type="character" w:customStyle="1" w:styleId="CommentSubjectChar">
    <w:name w:val="Comment Subject Char"/>
    <w:basedOn w:val="CommentTextChar"/>
    <w:link w:val="CommentSubject"/>
    <w:uiPriority w:val="99"/>
    <w:semiHidden/>
    <w:rsid w:val="005825DE"/>
    <w:rPr>
      <w:b/>
      <w:bCs/>
      <w:sz w:val="20"/>
      <w:szCs w:val="20"/>
    </w:rPr>
  </w:style>
  <w:style w:type="paragraph" w:styleId="BalloonText">
    <w:name w:val="Balloon Text"/>
    <w:basedOn w:val="Normal"/>
    <w:link w:val="BalloonTextChar"/>
    <w:uiPriority w:val="99"/>
    <w:semiHidden/>
    <w:unhideWhenUsed/>
    <w:rsid w:val="005825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5DE"/>
    <w:rPr>
      <w:rFonts w:ascii="Segoe UI" w:hAnsi="Segoe UI" w:cs="Segoe UI"/>
      <w:sz w:val="18"/>
      <w:szCs w:val="18"/>
    </w:rPr>
  </w:style>
  <w:style w:type="paragraph" w:styleId="ListParagraph">
    <w:name w:val="List Paragraph"/>
    <w:basedOn w:val="Normal"/>
    <w:uiPriority w:val="34"/>
    <w:qFormat/>
    <w:rsid w:val="00E04394"/>
    <w:pPr>
      <w:spacing w:after="200" w:line="276" w:lineRule="auto"/>
      <w:ind w:left="720"/>
      <w:contextualSpacing/>
    </w:pPr>
  </w:style>
  <w:style w:type="paragraph" w:styleId="FootnoteText">
    <w:name w:val="footnote text"/>
    <w:basedOn w:val="Normal"/>
    <w:link w:val="FootnoteTextChar"/>
    <w:uiPriority w:val="99"/>
    <w:unhideWhenUsed/>
    <w:rsid w:val="00E04394"/>
    <w:pPr>
      <w:spacing w:after="0" w:line="240" w:lineRule="auto"/>
    </w:pPr>
    <w:rPr>
      <w:sz w:val="20"/>
      <w:szCs w:val="20"/>
    </w:rPr>
  </w:style>
  <w:style w:type="character" w:customStyle="1" w:styleId="FootnoteTextChar">
    <w:name w:val="Footnote Text Char"/>
    <w:basedOn w:val="DefaultParagraphFont"/>
    <w:link w:val="FootnoteText"/>
    <w:uiPriority w:val="99"/>
    <w:rsid w:val="00E04394"/>
    <w:rPr>
      <w:sz w:val="20"/>
      <w:szCs w:val="20"/>
    </w:rPr>
  </w:style>
  <w:style w:type="character" w:styleId="FootnoteReference">
    <w:name w:val="footnote reference"/>
    <w:basedOn w:val="DefaultParagraphFont"/>
    <w:uiPriority w:val="99"/>
    <w:semiHidden/>
    <w:unhideWhenUsed/>
    <w:rsid w:val="00E04394"/>
    <w:rPr>
      <w:vertAlign w:val="superscript"/>
    </w:rPr>
  </w:style>
  <w:style w:type="paragraph" w:styleId="TOCHeading">
    <w:name w:val="TOC Heading"/>
    <w:basedOn w:val="Heading1"/>
    <w:next w:val="Normal"/>
    <w:uiPriority w:val="39"/>
    <w:unhideWhenUsed/>
    <w:qFormat/>
    <w:rsid w:val="000A1DB5"/>
    <w:pPr>
      <w:outlineLvl w:val="9"/>
    </w:pPr>
    <w:rPr>
      <w:lang w:val="en-US"/>
    </w:rPr>
  </w:style>
  <w:style w:type="paragraph" w:styleId="TOC1">
    <w:name w:val="toc 1"/>
    <w:basedOn w:val="Normal"/>
    <w:next w:val="Normal"/>
    <w:autoRedefine/>
    <w:uiPriority w:val="39"/>
    <w:unhideWhenUsed/>
    <w:rsid w:val="000A1DB5"/>
    <w:pPr>
      <w:spacing w:after="100"/>
    </w:pPr>
  </w:style>
  <w:style w:type="paragraph" w:styleId="NormalWeb">
    <w:name w:val="Normal (Web)"/>
    <w:basedOn w:val="Normal"/>
    <w:uiPriority w:val="99"/>
    <w:semiHidden/>
    <w:unhideWhenUsed/>
    <w:rsid w:val="00133679"/>
    <w:pPr>
      <w:spacing w:before="100" w:beforeAutospacing="1" w:after="100" w:afterAutospacing="1" w:line="240" w:lineRule="auto"/>
    </w:pPr>
    <w:rPr>
      <w:rFonts w:ascii="Times New Roman" w:eastAsiaTheme="minorEastAsia" w:hAnsi="Times New Roman" w:cs="Times New Roman"/>
      <w:sz w:val="24"/>
      <w:szCs w:val="24"/>
      <w:lang w:eastAsia="en-CA"/>
    </w:rPr>
  </w:style>
  <w:style w:type="character" w:styleId="Strong">
    <w:name w:val="Strong"/>
    <w:basedOn w:val="DefaultParagraphFont"/>
    <w:uiPriority w:val="22"/>
    <w:qFormat/>
    <w:rsid w:val="004768DA"/>
    <w:rPr>
      <w:b/>
      <w:bCs/>
    </w:rPr>
  </w:style>
  <w:style w:type="character" w:customStyle="1" w:styleId="currenthithighlight">
    <w:name w:val="currenthithighlight"/>
    <w:basedOn w:val="DefaultParagraphFont"/>
    <w:rsid w:val="00182BA2"/>
  </w:style>
  <w:style w:type="paragraph" w:styleId="Revision">
    <w:name w:val="Revision"/>
    <w:hidden/>
    <w:uiPriority w:val="99"/>
    <w:semiHidden/>
    <w:rsid w:val="004C132B"/>
    <w:pPr>
      <w:spacing w:after="0" w:line="240" w:lineRule="auto"/>
    </w:pPr>
  </w:style>
  <w:style w:type="character" w:customStyle="1" w:styleId="UnresolvedMention">
    <w:name w:val="Unresolved Mention"/>
    <w:basedOn w:val="DefaultParagraphFont"/>
    <w:uiPriority w:val="99"/>
    <w:semiHidden/>
    <w:unhideWhenUsed/>
    <w:rsid w:val="00F914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smls.org/Research/Research-Reports/Simulation-Clinical-Placement-Initiative.aspx" TargetMode="External"/><Relationship Id="rId18" Type="http://schemas.openxmlformats.org/officeDocument/2006/relationships/hyperlink" Target="https://www.csmls.org/About-Us/Our-Members/Code-of-Conduct.asp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smls.org/csmls/media/documents/resources/RecentGraduate-sClinicalPlacementExperiencewithinMedicalLaboratoryScienceProgramsacrossCanada(August2016).pdf" TargetMode="External"/><Relationship Id="rId17" Type="http://schemas.openxmlformats.org/officeDocument/2006/relationships/hyperlink" Target="https://www.csmls.org/About-Us/Our-Members/Standards-of-Practice.aspx" TargetMode="External"/><Relationship Id="rId2" Type="http://schemas.openxmlformats.org/officeDocument/2006/relationships/numbering" Target="numbering.xml"/><Relationship Id="rId16" Type="http://schemas.openxmlformats.org/officeDocument/2006/relationships/hyperlink" Target="http://www.ingentaconnect.com/contentone/asahp/jah/2018/00000047/00000001/art0001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vicecanada.gc.ca/eng/%20qc/job_futures/statistics/3212.shtml" TargetMode="External"/><Relationship Id="rId5" Type="http://schemas.openxmlformats.org/officeDocument/2006/relationships/settings" Target="settings.xml"/><Relationship Id="rId15" Type="http://schemas.openxmlformats.org/officeDocument/2006/relationships/hyperlink" Target="http://www.trc.ca/websites/trcinstitution/File/2015/Findings/Calls_to_Action_English2.pdf" TargetMode="External"/><Relationship Id="rId10" Type="http://schemas.openxmlformats.org/officeDocument/2006/relationships/hyperlink" Target="https://secure.cihi.ca/estore/productSeries.htm?pc=PCC513" TargetMode="External"/><Relationship Id="rId19" Type="http://schemas.openxmlformats.org/officeDocument/2006/relationships/hyperlink" Target="https://www.csmls.org/About-Us/Our-Members/Code-of-Ethics.aspx" TargetMode="External"/><Relationship Id="rId4" Type="http://schemas.microsoft.com/office/2007/relationships/stylesWithEffects" Target="stylesWithEffects.xml"/><Relationship Id="rId9" Type="http://schemas.openxmlformats.org/officeDocument/2006/relationships/hyperlink" Target="https://www.csmls.org/csmls/media/documents/resources/CSMLS-New-Graduate-Employment-Survey-2017-Grads-2016-v1-1.pdf" TargetMode="External"/><Relationship Id="rId14" Type="http://schemas.openxmlformats.org/officeDocument/2006/relationships/hyperlink" Target="https://www.csmls.org/csmls/media/documents/position_statements/Simulation-and-Clinical-Placement-Position-Statement-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B6EEF-A819-429C-B3AC-D4F513E0E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2477</Words>
  <Characters>14124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Zychla</dc:creator>
  <cp:lastModifiedBy>Kartik Desai</cp:lastModifiedBy>
  <cp:revision>3</cp:revision>
  <dcterms:created xsi:type="dcterms:W3CDTF">2018-06-21T18:03:00Z</dcterms:created>
  <dcterms:modified xsi:type="dcterms:W3CDTF">2018-08-14T16:47:00Z</dcterms:modified>
</cp:coreProperties>
</file>