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E27" w:rsidRPr="005732F6" w:rsidRDefault="00237E27" w:rsidP="006F16F8">
      <w:pPr>
        <w:pStyle w:val="Heading1"/>
        <w:spacing w:before="0"/>
        <w:jc w:val="center"/>
        <w:rPr>
          <w:rFonts w:ascii="Century Gothic" w:hAnsi="Century Gothic"/>
          <w:b/>
          <w:color w:val="auto"/>
          <w:lang w:val="fr-CA"/>
        </w:rPr>
      </w:pPr>
      <w:r w:rsidRPr="005732F6">
        <w:rPr>
          <w:rFonts w:ascii="Century Gothic" w:hAnsi="Century Gothic"/>
          <w:b/>
          <w:color w:val="auto"/>
          <w:lang w:val="fr-CA"/>
        </w:rPr>
        <w:t xml:space="preserve">Quand on discute des conversations cliniques, </w:t>
      </w:r>
    </w:p>
    <w:p w:rsidR="006F16F8" w:rsidRPr="005732F6" w:rsidRDefault="00237E27" w:rsidP="006F16F8">
      <w:pPr>
        <w:pStyle w:val="Heading1"/>
        <w:spacing w:before="0"/>
        <w:jc w:val="center"/>
        <w:rPr>
          <w:rFonts w:ascii="Century Gothic" w:hAnsi="Century Gothic"/>
          <w:b/>
          <w:color w:val="auto"/>
          <w:lang w:val="fr-CA"/>
        </w:rPr>
      </w:pPr>
      <w:proofErr w:type="gramStart"/>
      <w:r w:rsidRPr="005732F6">
        <w:rPr>
          <w:rFonts w:ascii="Century Gothic" w:hAnsi="Century Gothic"/>
          <w:b/>
          <w:color w:val="auto"/>
          <w:lang w:val="fr-CA"/>
        </w:rPr>
        <w:t>de</w:t>
      </w:r>
      <w:proofErr w:type="gramEnd"/>
      <w:r w:rsidRPr="005732F6">
        <w:rPr>
          <w:rFonts w:ascii="Century Gothic" w:hAnsi="Century Gothic"/>
          <w:b/>
          <w:color w:val="auto"/>
          <w:lang w:val="fr-CA"/>
        </w:rPr>
        <w:t xml:space="preserve"> quoi parle-t-on</w:t>
      </w:r>
      <w:r w:rsidR="006F16F8" w:rsidRPr="005732F6">
        <w:rPr>
          <w:rFonts w:ascii="Century Gothic" w:hAnsi="Century Gothic"/>
          <w:b/>
          <w:color w:val="auto"/>
          <w:lang w:val="fr-CA"/>
        </w:rPr>
        <w:t>?</w:t>
      </w:r>
    </w:p>
    <w:p w:rsidR="006F16F8" w:rsidRPr="005732F6" w:rsidRDefault="006F16F8" w:rsidP="006F16F8">
      <w:pPr>
        <w:rPr>
          <w:lang w:val="fr-CA"/>
        </w:rPr>
      </w:pPr>
    </w:p>
    <w:tbl>
      <w:tblPr>
        <w:tblStyle w:val="TableGrid"/>
        <w:tblpPr w:leftFromText="180" w:rightFromText="180" w:vertAnchor="text" w:horzAnchor="margin" w:tblpXSpec="center" w:tblpY="5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6F16F8" w:rsidRPr="00182771" w:rsidTr="00470146">
        <w:tc>
          <w:tcPr>
            <w:tcW w:w="5000" w:type="pct"/>
          </w:tcPr>
          <w:p w:rsidR="006F16F8" w:rsidRPr="005732F6" w:rsidRDefault="00237E27" w:rsidP="000A1A5A">
            <w:pPr>
              <w:jc w:val="center"/>
              <w:rPr>
                <w:rFonts w:ascii="Rockwell" w:hAnsi="Rockwell"/>
                <w:i/>
                <w:color w:val="215868" w:themeColor="accent5" w:themeShade="80"/>
                <w:lang w:val="fr-CA"/>
              </w:rPr>
            </w:pPr>
            <w:r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>« </w:t>
            </w:r>
            <w:r w:rsidR="005A5A9F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>En excluant les</w:t>
            </w:r>
            <w:r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 professionnels de</w:t>
            </w:r>
            <w:r w:rsidR="005A5A9F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>s</w:t>
            </w:r>
            <w:r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 conversations [cliniques] touchant l’organisme de la santé</w:t>
            </w:r>
            <w:r w:rsidR="005A5A9F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, on </w:t>
            </w:r>
            <w:r w:rsidR="000A1A5A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>occasionnera des</w:t>
            </w:r>
            <w:r w:rsidR="003E1FE6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 </w:t>
            </w:r>
            <w:r w:rsidR="005A5A9F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>soins de santé</w:t>
            </w:r>
            <w:r w:rsidR="000A1A5A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 inefficaces</w:t>
            </w:r>
            <w:r w:rsidR="005A5A9F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>. D</w:t>
            </w:r>
            <w:r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es progrès technologiques </w:t>
            </w:r>
            <w:r w:rsidR="005A5A9F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aggraveront la situation en </w:t>
            </w:r>
            <w:r w:rsidR="003E1FE6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>renforçant</w:t>
            </w:r>
            <w:r w:rsidR="005A5A9F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 l’idée </w:t>
            </w:r>
            <w:r w:rsidR="003E1FE6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que les </w:t>
            </w:r>
            <w:r w:rsidR="005A5A9F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professionnels de labo </w:t>
            </w:r>
            <w:r w:rsidR="003E1FE6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>sont des</w:t>
            </w:r>
            <w:r w:rsidR="005A5A9F" w:rsidRPr="005732F6">
              <w:rPr>
                <w:rFonts w:ascii="Rockwell" w:hAnsi="Rockwell"/>
                <w:i/>
                <w:color w:val="215868" w:themeColor="accent5" w:themeShade="80"/>
                <w:lang w:val="fr-CA"/>
              </w:rPr>
              <w:t xml:space="preserve"> tripatouilleurs de boutons. »</w:t>
            </w:r>
          </w:p>
        </w:tc>
      </w:tr>
    </w:tbl>
    <w:p w:rsidR="006F16F8" w:rsidRPr="005732F6" w:rsidRDefault="006F16F8" w:rsidP="006F16F8">
      <w:pPr>
        <w:spacing w:line="240" w:lineRule="auto"/>
        <w:jc w:val="right"/>
        <w:rPr>
          <w:lang w:val="fr-CA"/>
        </w:rPr>
      </w:pPr>
      <w:r w:rsidRPr="005732F6">
        <w:rPr>
          <w:lang w:val="fr-CA"/>
        </w:rPr>
        <w:t xml:space="preserve">~ </w:t>
      </w:r>
      <w:r w:rsidR="005A5A9F" w:rsidRPr="005732F6">
        <w:rPr>
          <w:lang w:val="fr-CA"/>
        </w:rPr>
        <w:t>Memb</w:t>
      </w:r>
      <w:r w:rsidRPr="005732F6">
        <w:rPr>
          <w:lang w:val="fr-CA"/>
        </w:rPr>
        <w:t>r</w:t>
      </w:r>
      <w:r w:rsidR="005A5A9F" w:rsidRPr="005732F6">
        <w:rPr>
          <w:lang w:val="fr-CA"/>
        </w:rPr>
        <w:t>e</w:t>
      </w:r>
      <w:r w:rsidRPr="005732F6">
        <w:rPr>
          <w:lang w:val="fr-CA"/>
        </w:rPr>
        <w:t>s</w:t>
      </w:r>
      <w:r w:rsidR="005A5A9F" w:rsidRPr="005732F6">
        <w:rPr>
          <w:lang w:val="fr-CA"/>
        </w:rPr>
        <w:t xml:space="preserve"> de la SCSLM</w:t>
      </w:r>
    </w:p>
    <w:p w:rsidR="006F16F8" w:rsidRPr="005732F6" w:rsidRDefault="00237E27" w:rsidP="006F16F8">
      <w:pPr>
        <w:spacing w:before="240"/>
        <w:rPr>
          <w:shd w:val="clear" w:color="auto" w:fill="FFFFFF"/>
          <w:lang w:val="fr-CA"/>
        </w:rPr>
      </w:pPr>
      <w:r w:rsidRPr="005732F6">
        <w:rPr>
          <w:b/>
          <w:lang w:val="fr-CA"/>
        </w:rPr>
        <w:t>Pourquoi ce sujet?</w:t>
      </w:r>
      <w:r w:rsidRPr="005732F6">
        <w:rPr>
          <w:lang w:val="fr-CA"/>
        </w:rPr>
        <w:t xml:space="preserve"> </w:t>
      </w:r>
      <w:r w:rsidR="002A1AF5" w:rsidRPr="005732F6">
        <w:rPr>
          <w:lang w:val="fr-CA"/>
        </w:rPr>
        <w:t>Il ne devrait pas être étonnant d’apprendre que le système de santé au Canada est en phase de</w:t>
      </w:r>
      <w:r w:rsidR="006F16F8" w:rsidRPr="005732F6">
        <w:rPr>
          <w:shd w:val="clear" w:color="auto" w:fill="FFFFFF"/>
          <w:lang w:val="fr-CA"/>
        </w:rPr>
        <w:t xml:space="preserve"> </w:t>
      </w:r>
      <w:hyperlink r:id="rId7" w:history="1">
        <w:r w:rsidR="002A1AF5" w:rsidRPr="005732F6">
          <w:rPr>
            <w:rStyle w:val="Hyperlink"/>
            <w:rFonts w:cs="Arial"/>
            <w:shd w:val="clear" w:color="auto" w:fill="FFFFFF"/>
            <w:lang w:val="fr-CA"/>
          </w:rPr>
          <w:t>changement accéléré</w:t>
        </w:r>
      </w:hyperlink>
      <w:r w:rsidR="006F16F8" w:rsidRPr="005732F6">
        <w:rPr>
          <w:shd w:val="clear" w:color="auto" w:fill="FFFFFF"/>
          <w:lang w:val="fr-CA"/>
        </w:rPr>
        <w:t xml:space="preserve">. </w:t>
      </w:r>
      <w:r w:rsidR="00EE3059" w:rsidRPr="005732F6">
        <w:rPr>
          <w:shd w:val="clear" w:color="auto" w:fill="FFFFFF"/>
          <w:lang w:val="fr-CA"/>
        </w:rPr>
        <w:t xml:space="preserve">Des facteurs contribuant à cette situation comprennent une population vieillissante qui favorise l’autonomie des patients et l’implication dans la prise de décisions, ainsi que l’émergence </w:t>
      </w:r>
      <w:r w:rsidR="00411EA0" w:rsidRPr="005732F6">
        <w:rPr>
          <w:shd w:val="clear" w:color="auto" w:fill="FFFFFF"/>
          <w:lang w:val="fr-CA"/>
        </w:rPr>
        <w:t>de diagnostics et de traitements complexes</w:t>
      </w:r>
      <w:r w:rsidR="000E6EB2" w:rsidRPr="005732F6">
        <w:rPr>
          <w:shd w:val="clear" w:color="auto" w:fill="FFFFFF"/>
          <w:lang w:val="fr-CA"/>
        </w:rPr>
        <w:t>,</w:t>
      </w:r>
      <w:r w:rsidR="00411EA0" w:rsidRPr="005732F6">
        <w:rPr>
          <w:shd w:val="clear" w:color="auto" w:fill="FFFFFF"/>
          <w:lang w:val="fr-CA"/>
        </w:rPr>
        <w:t xml:space="preserve"> </w:t>
      </w:r>
      <w:r w:rsidR="000E6EB2" w:rsidRPr="005732F6">
        <w:rPr>
          <w:shd w:val="clear" w:color="auto" w:fill="FFFFFF"/>
          <w:lang w:val="fr-CA"/>
        </w:rPr>
        <w:t>entraînée par le</w:t>
      </w:r>
      <w:r w:rsidR="00411EA0" w:rsidRPr="005732F6">
        <w:rPr>
          <w:shd w:val="clear" w:color="auto" w:fill="FFFFFF"/>
          <w:lang w:val="fr-CA"/>
        </w:rPr>
        <w:t xml:space="preserve"> progrès technologique et la médecine de précision.</w:t>
      </w:r>
      <w:r w:rsidR="006F16F8" w:rsidRPr="005732F6">
        <w:rPr>
          <w:shd w:val="clear" w:color="auto" w:fill="FFFFFF"/>
          <w:lang w:val="fr-CA"/>
        </w:rPr>
        <w:t xml:space="preserve"> </w:t>
      </w:r>
      <w:r w:rsidR="00411EA0" w:rsidRPr="005732F6">
        <w:rPr>
          <w:shd w:val="clear" w:color="auto" w:fill="FFFFFF"/>
          <w:lang w:val="fr-CA"/>
        </w:rPr>
        <w:t xml:space="preserve">Cette montée systématique </w:t>
      </w:r>
      <w:r w:rsidR="000E6EB2" w:rsidRPr="005732F6">
        <w:rPr>
          <w:shd w:val="clear" w:color="auto" w:fill="FFFFFF"/>
          <w:lang w:val="fr-CA"/>
        </w:rPr>
        <w:t>ouvre la porte aux</w:t>
      </w:r>
      <w:r w:rsidR="007C0DFB" w:rsidRPr="005732F6">
        <w:rPr>
          <w:shd w:val="clear" w:color="auto" w:fill="FFFFFF"/>
          <w:lang w:val="fr-CA"/>
        </w:rPr>
        <w:t xml:space="preserve"> </w:t>
      </w:r>
      <w:hyperlink r:id="rId8" w:history="1">
        <w:r w:rsidR="007C0DFB" w:rsidRPr="005732F6">
          <w:rPr>
            <w:rStyle w:val="Hyperlink"/>
            <w:shd w:val="clear" w:color="auto" w:fill="FFFFFF"/>
            <w:lang w:val="fr-CA"/>
          </w:rPr>
          <w:t>questions sociales et éthiques</w:t>
        </w:r>
      </w:hyperlink>
      <w:r w:rsidR="006F16F8" w:rsidRPr="005732F6">
        <w:rPr>
          <w:shd w:val="clear" w:color="auto" w:fill="FFFFFF"/>
          <w:lang w:val="fr-CA"/>
        </w:rPr>
        <w:t xml:space="preserve"> </w:t>
      </w:r>
      <w:r w:rsidR="007C0DFB" w:rsidRPr="005732F6">
        <w:rPr>
          <w:shd w:val="clear" w:color="auto" w:fill="FFFFFF"/>
          <w:lang w:val="fr-CA"/>
        </w:rPr>
        <w:t xml:space="preserve">pour les patients et les professionnels de la santé, tout en </w:t>
      </w:r>
      <w:r w:rsidR="000E6EB2" w:rsidRPr="005732F6">
        <w:rPr>
          <w:shd w:val="clear" w:color="auto" w:fill="FFFFFF"/>
          <w:lang w:val="fr-CA"/>
        </w:rPr>
        <w:t xml:space="preserve">augmentant l’importance de partager </w:t>
      </w:r>
      <w:r w:rsidR="00F5049B" w:rsidRPr="005732F6">
        <w:rPr>
          <w:shd w:val="clear" w:color="auto" w:fill="FFFFFF"/>
          <w:lang w:val="fr-CA"/>
        </w:rPr>
        <w:t>de l’information</w:t>
      </w:r>
      <w:r w:rsidR="009C2103" w:rsidRPr="005732F6">
        <w:rPr>
          <w:shd w:val="clear" w:color="auto" w:fill="FFFFFF"/>
          <w:lang w:val="fr-CA"/>
        </w:rPr>
        <w:t xml:space="preserve"> lors de conversations cliniques.</w:t>
      </w:r>
    </w:p>
    <w:p w:rsidR="006F16F8" w:rsidRPr="005732F6" w:rsidRDefault="00F5049B" w:rsidP="006F16F8">
      <w:pPr>
        <w:spacing w:before="240"/>
        <w:rPr>
          <w:shd w:val="clear" w:color="auto" w:fill="FFFFFF"/>
          <w:lang w:val="fr-CA"/>
        </w:rPr>
      </w:pPr>
      <w:r w:rsidRPr="005732F6">
        <w:rPr>
          <w:shd w:val="clear" w:color="auto" w:fill="FFFFFF"/>
          <w:lang w:val="fr-CA"/>
        </w:rPr>
        <w:t xml:space="preserve">Pour appuyer l’ensemble des parties en question, la prestation des soins de santé est optimisée par une série </w:t>
      </w:r>
      <w:r w:rsidR="0069685A" w:rsidRPr="005732F6">
        <w:rPr>
          <w:shd w:val="clear" w:color="auto" w:fill="FFFFFF"/>
          <w:lang w:val="fr-CA"/>
        </w:rPr>
        <w:t xml:space="preserve">définie de besoins des patients </w:t>
      </w:r>
      <w:r w:rsidR="00970EAE" w:rsidRPr="005732F6">
        <w:rPr>
          <w:shd w:val="clear" w:color="auto" w:fill="FFFFFF"/>
          <w:lang w:val="fr-CA"/>
        </w:rPr>
        <w:t xml:space="preserve">auxquels des équipes de soins interdisciplinaires répondent, grâce à des processus personnalisés tout au long du cheminement des soins. </w:t>
      </w:r>
      <w:r w:rsidR="007A2FD5" w:rsidRPr="005732F6">
        <w:rPr>
          <w:shd w:val="clear" w:color="auto" w:fill="FFFFFF"/>
          <w:lang w:val="fr-CA"/>
        </w:rPr>
        <w:t>Alors</w:t>
      </w:r>
      <w:r w:rsidR="00970EAE" w:rsidRPr="005732F6">
        <w:rPr>
          <w:shd w:val="clear" w:color="auto" w:fill="FFFFFF"/>
          <w:lang w:val="fr-CA"/>
        </w:rPr>
        <w:t xml:space="preserve"> que les soins interprofessionnels</w:t>
      </w:r>
      <w:r w:rsidR="004C7C09" w:rsidRPr="005732F6">
        <w:rPr>
          <w:shd w:val="clear" w:color="auto" w:fill="FFFFFF"/>
          <w:lang w:val="fr-CA"/>
        </w:rPr>
        <w:t xml:space="preserve"> (SIP) signifient généralement l</w:t>
      </w:r>
      <w:r w:rsidR="00970EAE" w:rsidRPr="005732F6">
        <w:rPr>
          <w:shd w:val="clear" w:color="auto" w:fill="FFFFFF"/>
          <w:lang w:val="fr-CA"/>
        </w:rPr>
        <w:t>es personnes</w:t>
      </w:r>
      <w:r w:rsidR="004C7C09" w:rsidRPr="005732F6">
        <w:rPr>
          <w:shd w:val="clear" w:color="auto" w:fill="FFFFFF"/>
          <w:lang w:val="fr-CA"/>
        </w:rPr>
        <w:t xml:space="preserve"> qui s’occupent des patients directement au chevet, ceux-ci</w:t>
      </w:r>
      <w:r w:rsidRPr="005732F6">
        <w:rPr>
          <w:shd w:val="clear" w:color="auto" w:fill="FFFFFF"/>
          <w:lang w:val="fr-CA"/>
        </w:rPr>
        <w:t xml:space="preserve"> </w:t>
      </w:r>
      <w:hyperlink r:id="rId9" w:history="1">
        <w:r w:rsidR="004C7C09" w:rsidRPr="005732F6">
          <w:rPr>
            <w:rStyle w:val="Hyperlink"/>
            <w:shd w:val="clear" w:color="auto" w:fill="FFFFFF"/>
            <w:lang w:val="fr-CA"/>
          </w:rPr>
          <w:t>comprennent également les professionnels de laboratoire médical</w:t>
        </w:r>
      </w:hyperlink>
      <w:r w:rsidR="006F16F8" w:rsidRPr="005732F6">
        <w:rPr>
          <w:shd w:val="clear" w:color="auto" w:fill="FFFFFF"/>
          <w:lang w:val="fr-CA"/>
        </w:rPr>
        <w:t xml:space="preserve"> (</w:t>
      </w:r>
      <w:r w:rsidR="004C7C09" w:rsidRPr="005732F6">
        <w:rPr>
          <w:shd w:val="clear" w:color="auto" w:fill="FFFFFF"/>
          <w:lang w:val="fr-CA"/>
        </w:rPr>
        <w:t>PLM</w:t>
      </w:r>
      <w:r w:rsidR="006F16F8" w:rsidRPr="005732F6">
        <w:rPr>
          <w:shd w:val="clear" w:color="auto" w:fill="FFFFFF"/>
          <w:lang w:val="fr-CA"/>
        </w:rPr>
        <w:t>)</w:t>
      </w:r>
      <w:r w:rsidR="004C7C09" w:rsidRPr="005732F6">
        <w:rPr>
          <w:shd w:val="clear" w:color="auto" w:fill="FFFFFF"/>
          <w:lang w:val="fr-CA"/>
        </w:rPr>
        <w:t>. Cependant, l’inclusion des PLM dans l</w:t>
      </w:r>
      <w:r w:rsidR="00B10AA2">
        <w:rPr>
          <w:shd w:val="clear" w:color="auto" w:fill="FFFFFF"/>
          <w:lang w:val="fr-CA"/>
        </w:rPr>
        <w:t>es</w:t>
      </w:r>
      <w:r w:rsidR="004C7C09" w:rsidRPr="005732F6">
        <w:rPr>
          <w:shd w:val="clear" w:color="auto" w:fill="FFFFFF"/>
          <w:lang w:val="fr-CA"/>
        </w:rPr>
        <w:t xml:space="preserve"> SIP ne figure pas souvent dans les publications, donc la fréquence de notre inclusion n’est pas bien comprise ou surveillée (</w:t>
      </w:r>
      <w:r w:rsidR="0049773E" w:rsidRPr="005732F6">
        <w:rPr>
          <w:shd w:val="clear" w:color="auto" w:fill="FFFFFF"/>
          <w:lang w:val="fr-CA"/>
        </w:rPr>
        <w:t>cela laisse à</w:t>
      </w:r>
      <w:r w:rsidR="004C7C09" w:rsidRPr="005732F6">
        <w:rPr>
          <w:shd w:val="clear" w:color="auto" w:fill="FFFFFF"/>
          <w:lang w:val="fr-CA"/>
        </w:rPr>
        <w:t xml:space="preserve"> entend</w:t>
      </w:r>
      <w:r w:rsidR="0049773E" w:rsidRPr="005732F6">
        <w:rPr>
          <w:shd w:val="clear" w:color="auto" w:fill="FFFFFF"/>
          <w:lang w:val="fr-CA"/>
        </w:rPr>
        <w:t>re</w:t>
      </w:r>
      <w:r w:rsidR="004C7C09" w:rsidRPr="005732F6">
        <w:rPr>
          <w:shd w:val="clear" w:color="auto" w:fill="FFFFFF"/>
          <w:lang w:val="fr-CA"/>
        </w:rPr>
        <w:t xml:space="preserve"> une implication minime des SIP)</w:t>
      </w:r>
      <w:r w:rsidR="006F16F8" w:rsidRPr="005732F6">
        <w:rPr>
          <w:shd w:val="clear" w:color="auto" w:fill="FFFFFF"/>
          <w:lang w:val="fr-CA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C7C09" w:rsidRPr="00182771" w:rsidTr="004C7C09">
        <w:tc>
          <w:tcPr>
            <w:tcW w:w="10296" w:type="dxa"/>
            <w:shd w:val="clear" w:color="auto" w:fill="C6D9F1" w:themeFill="text2" w:themeFillTint="33"/>
          </w:tcPr>
          <w:p w:rsidR="004C7C09" w:rsidRPr="005732F6" w:rsidRDefault="0049773E" w:rsidP="004C7C09">
            <w:pPr>
              <w:pStyle w:val="CSMLS-Body"/>
              <w:spacing w:before="240"/>
              <w:jc w:val="center"/>
              <w:rPr>
                <w:rFonts w:ascii="Rockwell" w:hAnsi="Rockwell"/>
                <w:i/>
                <w:lang w:val="fr-CA"/>
              </w:rPr>
            </w:pPr>
            <w:r w:rsidRPr="005732F6">
              <w:rPr>
                <w:rFonts w:ascii="Rockwell" w:hAnsi="Rockwell"/>
                <w:i/>
                <w:lang w:val="fr-CA"/>
              </w:rPr>
              <w:t xml:space="preserve">« Il est primordial que nous [les professionnels de laboratoire] demeurions en contact avec nos collègues médicaux, car c’est la seule façon d’assurer que nous avons accès à un flux ininterrompu de renseignements. À l’avenir, nous jouerons un rôle de plus en plus important </w:t>
            </w:r>
            <w:r w:rsidR="00C31CFA" w:rsidRPr="005732F6">
              <w:rPr>
                <w:rFonts w:ascii="Rockwell" w:hAnsi="Rockwell"/>
                <w:i/>
                <w:lang w:val="fr-CA"/>
              </w:rPr>
              <w:t xml:space="preserve">à titre </w:t>
            </w:r>
            <w:r w:rsidRPr="005732F6">
              <w:rPr>
                <w:rFonts w:ascii="Rockwell" w:hAnsi="Rockwell"/>
                <w:i/>
                <w:lang w:val="fr-CA"/>
              </w:rPr>
              <w:t>de conseillers. La valeur ajoutée que nous offrons à la médecine est souvent sous-appréciée. Nous nous trouvons sur le siège arrière, sans contact direct avec les patients. »</w:t>
            </w:r>
          </w:p>
          <w:p w:rsidR="004C7C09" w:rsidRPr="005732F6" w:rsidRDefault="004C7C09" w:rsidP="004535EF">
            <w:pPr>
              <w:spacing w:before="240" w:after="240"/>
              <w:jc w:val="right"/>
              <w:rPr>
                <w:shd w:val="clear" w:color="auto" w:fill="FFFFFF"/>
                <w:lang w:val="fr-CA"/>
              </w:rPr>
            </w:pPr>
            <w:r w:rsidRPr="005732F6">
              <w:rPr>
                <w:rFonts w:ascii="Rockwell" w:hAnsi="Rockwell"/>
                <w:lang w:val="fr-CA"/>
              </w:rPr>
              <w:t xml:space="preserve">~ </w:t>
            </w:r>
            <w:hyperlink r:id="rId10" w:history="1">
              <w:proofErr w:type="spellStart"/>
              <w:r w:rsidRPr="005732F6">
                <w:rPr>
                  <w:rStyle w:val="Hyperlink"/>
                  <w:rFonts w:ascii="Rockwell" w:hAnsi="Rockwell"/>
                  <w:lang w:val="fr-CA"/>
                </w:rPr>
                <w:t>Berend</w:t>
              </w:r>
              <w:proofErr w:type="spellEnd"/>
              <w:r w:rsidRPr="005732F6">
                <w:rPr>
                  <w:rStyle w:val="Hyperlink"/>
                  <w:rFonts w:ascii="Rockwell" w:hAnsi="Rockwell"/>
                  <w:lang w:val="fr-CA"/>
                </w:rPr>
                <w:t xml:space="preserve"> </w:t>
              </w:r>
              <w:proofErr w:type="spellStart"/>
              <w:r w:rsidRPr="005732F6">
                <w:rPr>
                  <w:rStyle w:val="Hyperlink"/>
                  <w:rFonts w:ascii="Rockwell" w:hAnsi="Rockwell"/>
                  <w:lang w:val="fr-CA"/>
                </w:rPr>
                <w:t>Isermann</w:t>
              </w:r>
              <w:proofErr w:type="spellEnd"/>
            </w:hyperlink>
            <w:r w:rsidRPr="005732F6">
              <w:rPr>
                <w:rFonts w:ascii="Rockwell" w:hAnsi="Rockwell"/>
                <w:lang w:val="fr-CA"/>
              </w:rPr>
              <w:t>, président du Congrès allemand de médecine de laboratoire</w:t>
            </w:r>
          </w:p>
        </w:tc>
      </w:tr>
    </w:tbl>
    <w:p w:rsidR="006F16F8" w:rsidRPr="005732F6" w:rsidRDefault="007A2FD5" w:rsidP="00CE5345">
      <w:pPr>
        <w:pStyle w:val="CSMLS-Body"/>
        <w:spacing w:before="240" w:line="276" w:lineRule="auto"/>
        <w:rPr>
          <w:shd w:val="clear" w:color="auto" w:fill="FFFFFF"/>
          <w:lang w:val="fr-CA"/>
        </w:rPr>
      </w:pPr>
      <w:r w:rsidRPr="005732F6">
        <w:rPr>
          <w:shd w:val="clear" w:color="auto" w:fill="FFFFFF"/>
          <w:lang w:val="fr-CA"/>
        </w:rPr>
        <w:t xml:space="preserve">Bien que l’on ne </w:t>
      </w:r>
      <w:r w:rsidR="00A9544B" w:rsidRPr="005732F6">
        <w:rPr>
          <w:shd w:val="clear" w:color="auto" w:fill="FFFFFF"/>
          <w:lang w:val="fr-CA"/>
        </w:rPr>
        <w:t>reconnaisse pas facilement</w:t>
      </w:r>
      <w:r w:rsidRPr="005732F6">
        <w:rPr>
          <w:shd w:val="clear" w:color="auto" w:fill="FFFFFF"/>
          <w:lang w:val="fr-CA"/>
        </w:rPr>
        <w:t xml:space="preserve"> </w:t>
      </w:r>
      <w:r w:rsidR="00A9544B" w:rsidRPr="005732F6">
        <w:rPr>
          <w:shd w:val="clear" w:color="auto" w:fill="FFFFFF"/>
          <w:lang w:val="fr-CA"/>
        </w:rPr>
        <w:t xml:space="preserve">à quel point les PLM influencent </w:t>
      </w:r>
      <w:r w:rsidRPr="005732F6">
        <w:rPr>
          <w:shd w:val="clear" w:color="auto" w:fill="FFFFFF"/>
          <w:lang w:val="fr-CA"/>
        </w:rPr>
        <w:t xml:space="preserve">le cheminement des patients, ni </w:t>
      </w:r>
      <w:r w:rsidR="00A9544B" w:rsidRPr="005732F6">
        <w:rPr>
          <w:shd w:val="clear" w:color="auto" w:fill="FFFFFF"/>
          <w:lang w:val="fr-CA"/>
        </w:rPr>
        <w:t>le</w:t>
      </w:r>
      <w:r w:rsidRPr="005732F6">
        <w:rPr>
          <w:shd w:val="clear" w:color="auto" w:fill="FFFFFF"/>
          <w:lang w:val="fr-CA"/>
        </w:rPr>
        <w:t xml:space="preserve"> fait que bon nombre de PLM ont des responsabilités </w:t>
      </w:r>
      <w:r w:rsidR="00CE5345" w:rsidRPr="005732F6">
        <w:rPr>
          <w:shd w:val="clear" w:color="auto" w:fill="FFFFFF"/>
          <w:lang w:val="fr-CA"/>
        </w:rPr>
        <w:t>impliquant le contact direct</w:t>
      </w:r>
      <w:r w:rsidRPr="005732F6">
        <w:rPr>
          <w:shd w:val="clear" w:color="auto" w:fill="FFFFFF"/>
          <w:lang w:val="fr-CA"/>
        </w:rPr>
        <w:t xml:space="preserve"> avec les patients,</w:t>
      </w:r>
      <w:r w:rsidR="00516165" w:rsidRPr="005732F6">
        <w:rPr>
          <w:shd w:val="clear" w:color="auto" w:fill="FFFFFF"/>
          <w:lang w:val="fr-CA"/>
        </w:rPr>
        <w:t xml:space="preserve"> plusieurs facteurs</w:t>
      </w:r>
      <w:r w:rsidRPr="005732F6">
        <w:rPr>
          <w:shd w:val="clear" w:color="auto" w:fill="FFFFFF"/>
          <w:lang w:val="fr-CA"/>
        </w:rPr>
        <w:t xml:space="preserve"> </w:t>
      </w:r>
      <w:r w:rsidR="00A9544B" w:rsidRPr="005732F6">
        <w:rPr>
          <w:shd w:val="clear" w:color="auto" w:fill="FFFFFF"/>
          <w:lang w:val="fr-CA"/>
        </w:rPr>
        <w:t xml:space="preserve">entrent en jeu qui entravent </w:t>
      </w:r>
      <w:r w:rsidR="00CE5345" w:rsidRPr="005732F6">
        <w:rPr>
          <w:shd w:val="clear" w:color="auto" w:fill="FFFFFF"/>
          <w:lang w:val="fr-CA"/>
        </w:rPr>
        <w:t xml:space="preserve">l’accroissement </w:t>
      </w:r>
      <w:r w:rsidR="00A9544B" w:rsidRPr="005732F6">
        <w:rPr>
          <w:shd w:val="clear" w:color="auto" w:fill="FFFFFF"/>
          <w:lang w:val="fr-CA"/>
        </w:rPr>
        <w:t>de cette perception.</w:t>
      </w:r>
      <w:r w:rsidR="00CE5345" w:rsidRPr="005732F6">
        <w:rPr>
          <w:shd w:val="clear" w:color="auto" w:fill="FFFFFF"/>
          <w:lang w:val="fr-CA"/>
        </w:rPr>
        <w:t xml:space="preserve"> Par exemple, l’utilisation accrue des systèmes d’aide à la décision par voie électronique a diminué le besoin des PLM de transférer </w:t>
      </w:r>
      <w:r w:rsidR="008512B0" w:rsidRPr="005732F6">
        <w:rPr>
          <w:shd w:val="clear" w:color="auto" w:fill="FFFFFF"/>
          <w:lang w:val="fr-CA"/>
        </w:rPr>
        <w:t>d</w:t>
      </w:r>
      <w:r w:rsidR="00CE5345" w:rsidRPr="005732F6">
        <w:rPr>
          <w:shd w:val="clear" w:color="auto" w:fill="FFFFFF"/>
          <w:lang w:val="fr-CA"/>
        </w:rPr>
        <w:t>es connaissances directement à leurs collègues. Les</w:t>
      </w:r>
      <w:r w:rsidR="006F16F8" w:rsidRPr="005732F6">
        <w:rPr>
          <w:shd w:val="clear" w:color="auto" w:fill="FFFFFF"/>
          <w:lang w:val="fr-CA"/>
        </w:rPr>
        <w:t xml:space="preserve"> </w:t>
      </w:r>
      <w:hyperlink r:id="rId11" w:history="1">
        <w:r w:rsidR="003D1B34" w:rsidRPr="005732F6">
          <w:rPr>
            <w:rStyle w:val="Hyperlink"/>
            <w:shd w:val="clear" w:color="auto" w:fill="FFFFFF"/>
            <w:lang w:val="fr-CA"/>
          </w:rPr>
          <w:t>dossiers médicaux électroniques</w:t>
        </w:r>
      </w:hyperlink>
      <w:r w:rsidR="006F16F8" w:rsidRPr="005732F6">
        <w:rPr>
          <w:shd w:val="clear" w:color="auto" w:fill="FFFFFF"/>
          <w:lang w:val="fr-CA"/>
        </w:rPr>
        <w:t xml:space="preserve"> (</w:t>
      </w:r>
      <w:r w:rsidR="00CE5345" w:rsidRPr="005732F6">
        <w:rPr>
          <w:shd w:val="clear" w:color="auto" w:fill="FFFFFF"/>
          <w:lang w:val="fr-CA"/>
        </w:rPr>
        <w:t>DME</w:t>
      </w:r>
      <w:r w:rsidR="006F16F8" w:rsidRPr="005732F6">
        <w:rPr>
          <w:shd w:val="clear" w:color="auto" w:fill="FFFFFF"/>
          <w:lang w:val="fr-CA"/>
        </w:rPr>
        <w:t xml:space="preserve">), </w:t>
      </w:r>
      <w:hyperlink r:id="rId12" w:history="1">
        <w:r w:rsidR="003D1B34" w:rsidRPr="005732F6">
          <w:rPr>
            <w:rStyle w:val="Hyperlink"/>
            <w:shd w:val="clear" w:color="auto" w:fill="FFFFFF"/>
            <w:lang w:val="fr-CA"/>
          </w:rPr>
          <w:t>systèmes d'information de laboratoire</w:t>
        </w:r>
      </w:hyperlink>
      <w:r w:rsidR="006F16F8" w:rsidRPr="005732F6">
        <w:rPr>
          <w:shd w:val="clear" w:color="auto" w:fill="FFFFFF"/>
          <w:lang w:val="fr-CA"/>
        </w:rPr>
        <w:t xml:space="preserve"> (</w:t>
      </w:r>
      <w:r w:rsidR="00CE5345" w:rsidRPr="005732F6">
        <w:rPr>
          <w:shd w:val="clear" w:color="auto" w:fill="FFFFFF"/>
          <w:lang w:val="fr-CA"/>
        </w:rPr>
        <w:t>SIL</w:t>
      </w:r>
      <w:r w:rsidR="006F16F8" w:rsidRPr="005732F6">
        <w:rPr>
          <w:shd w:val="clear" w:color="auto" w:fill="FFFFFF"/>
          <w:lang w:val="fr-CA"/>
        </w:rPr>
        <w:t xml:space="preserve">) </w:t>
      </w:r>
      <w:r w:rsidR="00CE5345" w:rsidRPr="005732F6">
        <w:rPr>
          <w:shd w:val="clear" w:color="auto" w:fill="FFFFFF"/>
          <w:lang w:val="fr-CA"/>
        </w:rPr>
        <w:t>et</w:t>
      </w:r>
      <w:r w:rsidR="006F16F8" w:rsidRPr="005732F6">
        <w:rPr>
          <w:shd w:val="clear" w:color="auto" w:fill="FFFFFF"/>
          <w:lang w:val="fr-CA"/>
        </w:rPr>
        <w:t xml:space="preserve"> </w:t>
      </w:r>
      <w:hyperlink r:id="rId13" w:history="1">
        <w:r w:rsidR="003D1B34" w:rsidRPr="005732F6">
          <w:rPr>
            <w:rStyle w:val="Hyperlink"/>
            <w:shd w:val="clear" w:color="auto" w:fill="FFFFFF"/>
            <w:lang w:val="fr-CA"/>
          </w:rPr>
          <w:t>portails-patients</w:t>
        </w:r>
      </w:hyperlink>
      <w:r w:rsidR="006F16F8" w:rsidRPr="005732F6">
        <w:rPr>
          <w:shd w:val="clear" w:color="auto" w:fill="FFFFFF"/>
          <w:lang w:val="fr-CA"/>
        </w:rPr>
        <w:t xml:space="preserve"> </w:t>
      </w:r>
      <w:r w:rsidR="00CE5345" w:rsidRPr="005732F6">
        <w:rPr>
          <w:shd w:val="clear" w:color="auto" w:fill="FFFFFF"/>
          <w:lang w:val="fr-CA"/>
        </w:rPr>
        <w:t xml:space="preserve">servent souvent à commander des tests et/ou afficher </w:t>
      </w:r>
      <w:r w:rsidR="008512B0" w:rsidRPr="005732F6">
        <w:rPr>
          <w:shd w:val="clear" w:color="auto" w:fill="FFFFFF"/>
          <w:lang w:val="fr-CA"/>
        </w:rPr>
        <w:t>d</w:t>
      </w:r>
      <w:r w:rsidR="00CE5345" w:rsidRPr="005732F6">
        <w:rPr>
          <w:shd w:val="clear" w:color="auto" w:fill="FFFFFF"/>
          <w:lang w:val="fr-CA"/>
        </w:rPr>
        <w:t xml:space="preserve">es résultats sans </w:t>
      </w:r>
      <w:r w:rsidR="008512B0" w:rsidRPr="005732F6">
        <w:rPr>
          <w:shd w:val="clear" w:color="auto" w:fill="FFFFFF"/>
          <w:lang w:val="fr-CA"/>
        </w:rPr>
        <w:t xml:space="preserve">que le PLM ait à </w:t>
      </w:r>
      <w:r w:rsidR="008512B0" w:rsidRPr="005732F6">
        <w:rPr>
          <w:shd w:val="clear" w:color="auto" w:fill="FFFFFF"/>
          <w:lang w:val="fr-CA"/>
        </w:rPr>
        <w:lastRenderedPageBreak/>
        <w:t>communiquer avec le</w:t>
      </w:r>
      <w:r w:rsidR="00CE5345" w:rsidRPr="005732F6">
        <w:rPr>
          <w:shd w:val="clear" w:color="auto" w:fill="FFFFFF"/>
          <w:lang w:val="fr-CA"/>
        </w:rPr>
        <w:t xml:space="preserve"> professionnel de la santé.</w:t>
      </w:r>
      <w:r w:rsidR="00EA77F2" w:rsidRPr="005732F6">
        <w:rPr>
          <w:shd w:val="clear" w:color="auto" w:fill="FFFFFF"/>
          <w:lang w:val="fr-CA"/>
        </w:rPr>
        <w:t xml:space="preserve"> Il se peut que ce scénario soit acceptable dans la société d’aujourd’hui car il s’agit d’une méthode de communication efficace et, dans l’ensemble, </w:t>
      </w:r>
      <w:r w:rsidR="00B10AA2">
        <w:rPr>
          <w:shd w:val="clear" w:color="auto" w:fill="FFFFFF"/>
          <w:lang w:val="fr-CA"/>
        </w:rPr>
        <w:t>cela</w:t>
      </w:r>
      <w:r w:rsidR="00EA77F2" w:rsidRPr="005732F6">
        <w:rPr>
          <w:shd w:val="clear" w:color="auto" w:fill="FFFFFF"/>
          <w:lang w:val="fr-CA"/>
        </w:rPr>
        <w:t xml:space="preserve"> offre des mesures supérieures de contrôle de la qualité. On ne croit pas que ce changement aux processus est mauvais, mais on se demande plutôt, « </w:t>
      </w:r>
      <w:r w:rsidR="00580356" w:rsidRPr="005732F6">
        <w:rPr>
          <w:shd w:val="clear" w:color="auto" w:fill="FFFFFF"/>
          <w:lang w:val="fr-CA"/>
        </w:rPr>
        <w:t xml:space="preserve">Comment les PLM peuvent-ils </w:t>
      </w:r>
      <w:r w:rsidR="00D9788A" w:rsidRPr="005732F6">
        <w:rPr>
          <w:shd w:val="clear" w:color="auto" w:fill="FFFFFF"/>
          <w:lang w:val="fr-CA"/>
        </w:rPr>
        <w:t>ranimer les</w:t>
      </w:r>
      <w:r w:rsidR="00580356" w:rsidRPr="005732F6">
        <w:rPr>
          <w:shd w:val="clear" w:color="auto" w:fill="FFFFFF"/>
          <w:lang w:val="fr-CA"/>
        </w:rPr>
        <w:t xml:space="preserve"> conversation</w:t>
      </w:r>
      <w:r w:rsidR="00D9788A" w:rsidRPr="005732F6">
        <w:rPr>
          <w:shd w:val="clear" w:color="auto" w:fill="FFFFFF"/>
          <w:lang w:val="fr-CA"/>
        </w:rPr>
        <w:t>s</w:t>
      </w:r>
      <w:r w:rsidR="00580356" w:rsidRPr="005732F6">
        <w:rPr>
          <w:shd w:val="clear" w:color="auto" w:fill="FFFFFF"/>
          <w:lang w:val="fr-CA"/>
        </w:rPr>
        <w:t xml:space="preserve"> clinique</w:t>
      </w:r>
      <w:r w:rsidR="00D9788A" w:rsidRPr="005732F6">
        <w:rPr>
          <w:shd w:val="clear" w:color="auto" w:fill="FFFFFF"/>
          <w:lang w:val="fr-CA"/>
        </w:rPr>
        <w:t>s</w:t>
      </w:r>
      <w:r w:rsidR="00580356" w:rsidRPr="005732F6">
        <w:rPr>
          <w:shd w:val="clear" w:color="auto" w:fill="FFFFFF"/>
          <w:lang w:val="fr-CA"/>
        </w:rPr>
        <w:t xml:space="preserve"> et appliquer leur expertise en vue d’améliorer le cheminement des soins aux patients? ».</w:t>
      </w:r>
    </w:p>
    <w:p w:rsidR="006F16F8" w:rsidRPr="005732F6" w:rsidRDefault="00A80451" w:rsidP="006F16F8">
      <w:pPr>
        <w:pStyle w:val="CSMLS-Body"/>
        <w:spacing w:before="240" w:line="276" w:lineRule="auto"/>
        <w:jc w:val="center"/>
        <w:rPr>
          <w:shd w:val="clear" w:color="auto" w:fill="FFFFFF"/>
          <w:lang w:val="fr-CA"/>
        </w:rPr>
      </w:pPr>
      <w:hyperlink r:id="rId14" w:history="1">
        <w:r w:rsidR="002E44FE" w:rsidRPr="005732F6">
          <w:rPr>
            <w:rStyle w:val="Hyperlink"/>
            <w:shd w:val="clear" w:color="auto" w:fill="FFFFFF"/>
            <w:lang w:val="fr-CA"/>
          </w:rPr>
          <w:t>Il y a encore</w:t>
        </w:r>
        <w:r w:rsidR="006D493C" w:rsidRPr="005732F6">
          <w:rPr>
            <w:rStyle w:val="Hyperlink"/>
            <w:shd w:val="clear" w:color="auto" w:fill="FFFFFF"/>
            <w:lang w:val="fr-CA"/>
          </w:rPr>
          <w:t xml:space="preserve"> place </w:t>
        </w:r>
        <w:r w:rsidR="002E44FE" w:rsidRPr="005732F6">
          <w:rPr>
            <w:rStyle w:val="Hyperlink"/>
            <w:shd w:val="clear" w:color="auto" w:fill="FFFFFF"/>
            <w:lang w:val="fr-CA"/>
          </w:rPr>
          <w:t>à</w:t>
        </w:r>
        <w:r w:rsidR="006D493C" w:rsidRPr="005732F6">
          <w:rPr>
            <w:rStyle w:val="Hyperlink"/>
            <w:shd w:val="clear" w:color="auto" w:fill="FFFFFF"/>
            <w:lang w:val="fr-CA"/>
          </w:rPr>
          <w:t xml:space="preserve"> améliorer et </w:t>
        </w:r>
        <w:r w:rsidR="002E44FE" w:rsidRPr="005732F6">
          <w:rPr>
            <w:rStyle w:val="Hyperlink"/>
            <w:shd w:val="clear" w:color="auto" w:fill="FFFFFF"/>
            <w:lang w:val="fr-CA"/>
          </w:rPr>
          <w:t xml:space="preserve">à </w:t>
        </w:r>
        <w:r w:rsidR="006D493C" w:rsidRPr="005732F6">
          <w:rPr>
            <w:rStyle w:val="Hyperlink"/>
            <w:shd w:val="clear" w:color="auto" w:fill="FFFFFF"/>
            <w:lang w:val="fr-CA"/>
          </w:rPr>
          <w:t>encourager la communication.</w:t>
        </w:r>
      </w:hyperlink>
    </w:p>
    <w:p w:rsidR="006F16F8" w:rsidRPr="005732F6" w:rsidRDefault="00D613E5" w:rsidP="00D82DB8">
      <w:pPr>
        <w:rPr>
          <w:rFonts w:cstheme="minorHAnsi"/>
          <w:lang w:val="fr-CA"/>
        </w:rPr>
      </w:pPr>
      <w:r w:rsidRPr="005732F6">
        <w:rPr>
          <w:rFonts w:cstheme="minorHAnsi"/>
          <w:lang w:val="fr-CA"/>
        </w:rPr>
        <w:t>Traditionnelle</w:t>
      </w:r>
      <w:r w:rsidR="003E59AB" w:rsidRPr="005732F6">
        <w:rPr>
          <w:rFonts w:cstheme="minorHAnsi"/>
          <w:lang w:val="fr-CA"/>
        </w:rPr>
        <w:t>ment, les pratiques de commande</w:t>
      </w:r>
      <w:r w:rsidRPr="005732F6">
        <w:rPr>
          <w:rFonts w:cstheme="minorHAnsi"/>
          <w:lang w:val="fr-CA"/>
        </w:rPr>
        <w:t xml:space="preserve"> d’analyses sont laissées à la discrétion des professionnels individuels de la santé.</w:t>
      </w:r>
      <w:r w:rsidR="003E59AB" w:rsidRPr="005732F6">
        <w:rPr>
          <w:rFonts w:cstheme="minorHAnsi"/>
          <w:lang w:val="fr-CA"/>
        </w:rPr>
        <w:t xml:space="preserve"> Ceux-ci ont contribué énormément à l’amélioration de la valeur des analyses de laboratoire et des soins aux patients, mais des occasions </w:t>
      </w:r>
      <w:r w:rsidR="00D82DB8" w:rsidRPr="005732F6">
        <w:rPr>
          <w:rFonts w:cstheme="minorHAnsi"/>
          <w:lang w:val="fr-CA"/>
        </w:rPr>
        <w:t xml:space="preserve">se présentent toujours pour </w:t>
      </w:r>
      <w:r w:rsidR="003E59AB" w:rsidRPr="005732F6">
        <w:rPr>
          <w:rFonts w:cstheme="minorHAnsi"/>
          <w:lang w:val="fr-CA"/>
        </w:rPr>
        <w:t>adopter des approches novatrices visant à rehausser la gérance de ressources.</w:t>
      </w:r>
      <w:r w:rsidR="00D82DB8" w:rsidRPr="005732F6">
        <w:rPr>
          <w:rFonts w:cstheme="minorHAnsi"/>
          <w:lang w:val="fr-CA"/>
        </w:rPr>
        <w:t xml:space="preserve"> Au cours des dernières années, des </w:t>
      </w:r>
      <w:hyperlink r:id="rId15" w:history="1">
        <w:r w:rsidR="00D82DB8" w:rsidRPr="005732F6">
          <w:rPr>
            <w:rStyle w:val="Hyperlink"/>
            <w:rFonts w:cstheme="minorHAnsi"/>
            <w:lang w:val="fr-CA"/>
          </w:rPr>
          <w:t>efforts considérables sur le plan national et international</w:t>
        </w:r>
      </w:hyperlink>
      <w:r w:rsidR="006F16F8" w:rsidRPr="005732F6">
        <w:rPr>
          <w:rFonts w:cstheme="minorHAnsi"/>
          <w:lang w:val="fr-CA"/>
        </w:rPr>
        <w:t xml:space="preserve"> </w:t>
      </w:r>
      <w:r w:rsidR="00D82DB8" w:rsidRPr="005732F6">
        <w:rPr>
          <w:rFonts w:cstheme="minorHAnsi"/>
          <w:lang w:val="fr-CA"/>
        </w:rPr>
        <w:t xml:space="preserve">ont ciblé l’amélioration de la valeur des soins de santé par l’entremise d’une gestion appropriée </w:t>
      </w:r>
      <w:r w:rsidR="00374E20" w:rsidRPr="005732F6">
        <w:rPr>
          <w:rFonts w:cstheme="minorHAnsi"/>
          <w:lang w:val="fr-CA"/>
        </w:rPr>
        <w:t>de l’utilisation d’</w:t>
      </w:r>
      <w:r w:rsidR="00D82DB8" w:rsidRPr="005732F6">
        <w:rPr>
          <w:rFonts w:cstheme="minorHAnsi"/>
          <w:lang w:val="fr-CA"/>
        </w:rPr>
        <w:t>analyses de laboratoire. Ces efforts, dans le fond, sont</w:t>
      </w:r>
      <w:r w:rsidR="006F16F8" w:rsidRPr="005732F6">
        <w:rPr>
          <w:rFonts w:cstheme="minorHAnsi"/>
          <w:lang w:val="fr-CA"/>
        </w:rPr>
        <w:t xml:space="preserve"> </w:t>
      </w:r>
      <w:hyperlink r:id="rId16" w:history="1">
        <w:r w:rsidR="00D82DB8" w:rsidRPr="005732F6">
          <w:rPr>
            <w:rStyle w:val="Hyperlink"/>
            <w:rFonts w:cstheme="minorHAnsi"/>
            <w:lang w:val="fr-CA"/>
          </w:rPr>
          <w:t>basés sur l'idée d'améliorer la communication grâce à la recherche de savoirs et à l'échange de connaissances</w:t>
        </w:r>
      </w:hyperlink>
      <w:r w:rsidR="00D82DB8" w:rsidRPr="005732F6">
        <w:rPr>
          <w:rFonts w:cstheme="minorHAnsi"/>
          <w:lang w:val="fr-CA"/>
        </w:rPr>
        <w:t>.</w:t>
      </w:r>
    </w:p>
    <w:p w:rsidR="006F16F8" w:rsidRPr="005732F6" w:rsidRDefault="00F828C1" w:rsidP="006F16F8">
      <w:pPr>
        <w:pStyle w:val="ListParagraph"/>
        <w:numPr>
          <w:ilvl w:val="0"/>
          <w:numId w:val="16"/>
        </w:numPr>
        <w:spacing w:before="240"/>
        <w:rPr>
          <w:rFonts w:ascii="Rockwell" w:hAnsi="Rockwell"/>
          <w:shd w:val="clear" w:color="auto" w:fill="FFFFFF"/>
          <w:lang w:val="fr-CA"/>
        </w:rPr>
      </w:pPr>
      <w:r w:rsidRPr="005732F6">
        <w:rPr>
          <w:rFonts w:ascii="Rockwell" w:hAnsi="Rockwell"/>
          <w:shd w:val="clear" w:color="auto" w:fill="FFFFFF"/>
          <w:lang w:val="fr-CA"/>
        </w:rPr>
        <w:t>Une étude de 2017 menée par</w:t>
      </w:r>
      <w:r w:rsidR="006F16F8" w:rsidRPr="005732F6">
        <w:rPr>
          <w:rFonts w:ascii="Rockwell" w:hAnsi="Rockwell"/>
          <w:shd w:val="clear" w:color="auto" w:fill="FFFFFF"/>
          <w:lang w:val="fr-CA"/>
        </w:rPr>
        <w:t xml:space="preserve"> </w:t>
      </w:r>
      <w:hyperlink r:id="rId17" w:history="1">
        <w:r w:rsidRPr="005732F6">
          <w:rPr>
            <w:rStyle w:val="Hyperlink"/>
            <w:rFonts w:ascii="Rockwell" w:hAnsi="Rockwell"/>
            <w:shd w:val="clear" w:color="auto" w:fill="FFFFFF"/>
            <w:lang w:val="fr-CA"/>
          </w:rPr>
          <w:t>l'Institut canadien d'information sur la santé</w:t>
        </w:r>
      </w:hyperlink>
      <w:r w:rsidR="006F16F8" w:rsidRPr="005732F6">
        <w:rPr>
          <w:rFonts w:ascii="Rockwell" w:hAnsi="Rockwell"/>
          <w:shd w:val="clear" w:color="auto" w:fill="FFFFFF"/>
          <w:lang w:val="fr-CA"/>
        </w:rPr>
        <w:t xml:space="preserve"> </w:t>
      </w:r>
      <w:r w:rsidRPr="005732F6">
        <w:rPr>
          <w:rFonts w:ascii="Rockwell" w:hAnsi="Rockwell"/>
          <w:shd w:val="clear" w:color="auto" w:fill="FFFFFF"/>
          <w:lang w:val="fr-CA"/>
        </w:rPr>
        <w:t>a trouvé que 30 % des analyses médicales,</w:t>
      </w:r>
      <w:r w:rsidR="006F16F8" w:rsidRPr="005732F6">
        <w:rPr>
          <w:rFonts w:ascii="Rockwell" w:hAnsi="Rockwell"/>
          <w:shd w:val="clear" w:color="auto" w:fill="FFFFFF"/>
          <w:lang w:val="fr-CA"/>
        </w:rPr>
        <w:t xml:space="preserve"> </w:t>
      </w:r>
      <w:r w:rsidRPr="005732F6">
        <w:rPr>
          <w:rFonts w:ascii="Rockwell" w:hAnsi="Rockwell"/>
          <w:shd w:val="clear" w:color="auto" w:fill="FFFFFF"/>
          <w:lang w:val="fr-CA"/>
        </w:rPr>
        <w:t>des traitements et des procédures au Canada peuvent s’avérer non nécessaires.</w:t>
      </w:r>
    </w:p>
    <w:p w:rsidR="006F16F8" w:rsidRPr="005732F6" w:rsidRDefault="00F828C1" w:rsidP="006F16F8">
      <w:pPr>
        <w:pStyle w:val="ListParagraph"/>
        <w:numPr>
          <w:ilvl w:val="0"/>
          <w:numId w:val="16"/>
        </w:numPr>
        <w:spacing w:before="240"/>
        <w:rPr>
          <w:rFonts w:ascii="Rockwell" w:hAnsi="Rockwell"/>
          <w:shd w:val="clear" w:color="auto" w:fill="FFFFFF"/>
          <w:lang w:val="fr-CA"/>
        </w:rPr>
      </w:pPr>
      <w:r w:rsidRPr="005732F6">
        <w:rPr>
          <w:rFonts w:ascii="Rockwell" w:hAnsi="Rockwell"/>
          <w:shd w:val="clear" w:color="auto" w:fill="FFFFFF"/>
          <w:lang w:val="fr-CA"/>
        </w:rPr>
        <w:t>D’autres études ont</w:t>
      </w:r>
      <w:r w:rsidR="006F16F8" w:rsidRPr="005732F6">
        <w:rPr>
          <w:rFonts w:ascii="Rockwell" w:hAnsi="Rockwell"/>
          <w:shd w:val="clear" w:color="auto" w:fill="FFFFFF"/>
          <w:lang w:val="fr-CA"/>
        </w:rPr>
        <w:t xml:space="preserve"> </w:t>
      </w:r>
      <w:hyperlink r:id="rId18" w:history="1">
        <w:r w:rsidR="00B10AA2">
          <w:rPr>
            <w:rStyle w:val="Hyperlink"/>
            <w:rFonts w:ascii="Rockwell" w:hAnsi="Rockwell"/>
            <w:shd w:val="clear" w:color="auto" w:fill="FFFFFF"/>
            <w:lang w:val="fr-CA"/>
          </w:rPr>
          <w:t xml:space="preserve">estimé qu'entre 20 % et 50 % du total des tests sont commandés inutilement </w:t>
        </w:r>
      </w:hyperlink>
      <w:r w:rsidR="006F16F8" w:rsidRPr="005732F6">
        <w:rPr>
          <w:rFonts w:ascii="Rockwell" w:hAnsi="Rockwell"/>
          <w:shd w:val="clear" w:color="auto" w:fill="FFFFFF"/>
          <w:lang w:val="fr-CA"/>
        </w:rPr>
        <w:t xml:space="preserve"> (</w:t>
      </w:r>
      <w:r w:rsidR="00374E20" w:rsidRPr="005732F6">
        <w:rPr>
          <w:rFonts w:ascii="Rockwell" w:hAnsi="Rockwell"/>
          <w:shd w:val="clear" w:color="auto" w:fill="FFFFFF"/>
          <w:lang w:val="fr-CA"/>
        </w:rPr>
        <w:t xml:space="preserve">c.-à-d., une analyse erronée, un test </w:t>
      </w:r>
      <w:r w:rsidR="00320600" w:rsidRPr="005732F6">
        <w:rPr>
          <w:rFonts w:ascii="Rockwell" w:hAnsi="Rockwell"/>
          <w:shd w:val="clear" w:color="auto" w:fill="FFFFFF"/>
          <w:lang w:val="fr-CA"/>
        </w:rPr>
        <w:t>non nécessaire</w:t>
      </w:r>
      <w:r w:rsidR="00374E20" w:rsidRPr="005732F6">
        <w:rPr>
          <w:rFonts w:ascii="Rockwell" w:hAnsi="Rockwell"/>
          <w:shd w:val="clear" w:color="auto" w:fill="FFFFFF"/>
          <w:lang w:val="fr-CA"/>
        </w:rPr>
        <w:t xml:space="preserve"> ou une analyse appropriée mais commandée au mauvais moment</w:t>
      </w:r>
      <w:r w:rsidR="006F16F8" w:rsidRPr="005732F6">
        <w:rPr>
          <w:rFonts w:ascii="Rockwell" w:hAnsi="Rockwell"/>
          <w:shd w:val="clear" w:color="auto" w:fill="FFFFFF"/>
          <w:lang w:val="fr-CA"/>
        </w:rPr>
        <w:t xml:space="preserve">). </w:t>
      </w:r>
    </w:p>
    <w:p w:rsidR="006F16F8" w:rsidRPr="005732F6" w:rsidRDefault="00ED05C6" w:rsidP="006F16F8">
      <w:pPr>
        <w:pStyle w:val="ListParagraph"/>
        <w:numPr>
          <w:ilvl w:val="0"/>
          <w:numId w:val="16"/>
        </w:numPr>
        <w:spacing w:before="240"/>
        <w:rPr>
          <w:rFonts w:ascii="Rockwell" w:hAnsi="Rockwell"/>
          <w:shd w:val="clear" w:color="auto" w:fill="FFFFFF"/>
          <w:lang w:val="fr-CA"/>
        </w:rPr>
      </w:pPr>
      <w:r w:rsidRPr="005732F6">
        <w:rPr>
          <w:rFonts w:ascii="Rockwell" w:hAnsi="Rockwell"/>
          <w:shd w:val="clear" w:color="auto" w:fill="FFFFFF"/>
          <w:lang w:val="fr-CA"/>
        </w:rPr>
        <w:t>D</w:t>
      </w:r>
      <w:r w:rsidR="007E575F" w:rsidRPr="005732F6">
        <w:rPr>
          <w:rFonts w:ascii="Rockwell" w:hAnsi="Rockwell"/>
          <w:shd w:val="clear" w:color="auto" w:fill="FFFFFF"/>
          <w:lang w:val="fr-CA"/>
        </w:rPr>
        <w:t>es données canadiennes suggèrent qu’une somme d’environ 6 milliards de $</w:t>
      </w:r>
      <w:r w:rsidR="006F16F8" w:rsidRPr="005732F6">
        <w:rPr>
          <w:rFonts w:ascii="Rockwell" w:hAnsi="Rockwell"/>
          <w:shd w:val="clear" w:color="auto" w:fill="FFFFFF"/>
          <w:lang w:val="fr-CA"/>
        </w:rPr>
        <w:t xml:space="preserve"> </w:t>
      </w:r>
      <w:r w:rsidR="00090098" w:rsidRPr="005732F6">
        <w:rPr>
          <w:rFonts w:ascii="Rockwell" w:hAnsi="Rockwell"/>
          <w:shd w:val="clear" w:color="auto" w:fill="FFFFFF"/>
          <w:lang w:val="fr-CA"/>
        </w:rPr>
        <w:t xml:space="preserve">est dépensée annuellement </w:t>
      </w:r>
      <w:r w:rsidR="007E575F" w:rsidRPr="005732F6">
        <w:rPr>
          <w:rFonts w:ascii="Rockwell" w:hAnsi="Rockwell"/>
          <w:shd w:val="clear" w:color="auto" w:fill="FFFFFF"/>
          <w:lang w:val="fr-CA"/>
        </w:rPr>
        <w:t xml:space="preserve">dans les </w:t>
      </w:r>
      <w:r w:rsidR="00090098" w:rsidRPr="005732F6">
        <w:rPr>
          <w:rFonts w:ascii="Rockwell" w:hAnsi="Rockwell"/>
          <w:shd w:val="clear" w:color="auto" w:fill="FFFFFF"/>
          <w:lang w:val="fr-CA"/>
        </w:rPr>
        <w:t>tests</w:t>
      </w:r>
      <w:r w:rsidR="007E575F" w:rsidRPr="005732F6">
        <w:rPr>
          <w:rFonts w:ascii="Rockwell" w:hAnsi="Rockwell"/>
          <w:shd w:val="clear" w:color="auto" w:fill="FFFFFF"/>
          <w:lang w:val="fr-CA"/>
        </w:rPr>
        <w:t xml:space="preserve"> de laboratoire par les gouvernements provinciaux et territoriaux, et de ce montant, </w:t>
      </w:r>
      <w:hyperlink r:id="rId19" w:history="1">
        <w:r w:rsidR="004E42C6" w:rsidRPr="005732F6">
          <w:rPr>
            <w:rStyle w:val="Hyperlink"/>
            <w:rFonts w:ascii="Rockwell" w:hAnsi="Rockwell"/>
            <w:shd w:val="clear" w:color="auto" w:fill="FFFFFF"/>
            <w:lang w:val="fr-CA"/>
          </w:rPr>
          <w:t>près de 10 </w:t>
        </w:r>
        <w:r w:rsidR="00090098" w:rsidRPr="005732F6">
          <w:rPr>
            <w:rStyle w:val="Hyperlink"/>
            <w:rFonts w:ascii="Rockwell" w:hAnsi="Rockwell"/>
            <w:shd w:val="clear" w:color="auto" w:fill="FFFFFF"/>
            <w:lang w:val="fr-CA"/>
          </w:rPr>
          <w:t>% représente des analyses inutiles (600 millions $)</w:t>
        </w:r>
      </w:hyperlink>
      <w:r w:rsidR="006F16F8" w:rsidRPr="005732F6">
        <w:rPr>
          <w:rFonts w:ascii="Rockwell" w:hAnsi="Rockwell"/>
          <w:shd w:val="clear" w:color="auto" w:fill="FFFFFF"/>
          <w:lang w:val="fr-CA"/>
        </w:rPr>
        <w:t xml:space="preserve">.  </w:t>
      </w:r>
    </w:p>
    <w:p w:rsidR="006F16F8" w:rsidRPr="005732F6" w:rsidRDefault="00E051C2" w:rsidP="006F16F8">
      <w:pPr>
        <w:rPr>
          <w:b/>
          <w:lang w:val="fr-CA"/>
        </w:rPr>
      </w:pPr>
      <w:r w:rsidRPr="005732F6">
        <w:rPr>
          <w:b/>
          <w:color w:val="000000"/>
          <w:shd w:val="clear" w:color="auto" w:fill="FFFFFF"/>
          <w:lang w:val="fr-CA"/>
        </w:rPr>
        <w:t>Comment les PLM s’intègrent-ils dans la conversation clinique?</w:t>
      </w:r>
      <w:r w:rsidR="006F16F8" w:rsidRPr="005732F6">
        <w:rPr>
          <w:b/>
          <w:lang w:val="fr-CA"/>
        </w:rPr>
        <w:t xml:space="preserve"> </w:t>
      </w:r>
    </w:p>
    <w:p w:rsidR="006F16F8" w:rsidRPr="005732F6" w:rsidRDefault="00B50A12" w:rsidP="00B50A12">
      <w:pPr>
        <w:rPr>
          <w:shd w:val="clear" w:color="auto" w:fill="FFFFFF"/>
          <w:lang w:val="fr-CA"/>
        </w:rPr>
      </w:pPr>
      <w:r w:rsidRPr="005732F6">
        <w:rPr>
          <w:shd w:val="clear" w:color="auto" w:fill="FFFFFF"/>
          <w:lang w:val="fr-CA"/>
        </w:rPr>
        <w:t xml:space="preserve">Les PLM sont des experts </w:t>
      </w:r>
      <w:r w:rsidR="00241911" w:rsidRPr="005732F6">
        <w:rPr>
          <w:shd w:val="clear" w:color="auto" w:fill="FFFFFF"/>
          <w:lang w:val="fr-CA"/>
        </w:rPr>
        <w:t>dans le domaine</w:t>
      </w:r>
      <w:r w:rsidRPr="005732F6">
        <w:rPr>
          <w:shd w:val="clear" w:color="auto" w:fill="FFFFFF"/>
          <w:lang w:val="fr-CA"/>
        </w:rPr>
        <w:t xml:space="preserve">, et </w:t>
      </w:r>
      <w:r w:rsidR="00241911" w:rsidRPr="005732F6">
        <w:rPr>
          <w:shd w:val="clear" w:color="auto" w:fill="FFFFFF"/>
          <w:lang w:val="fr-CA"/>
        </w:rPr>
        <w:t xml:space="preserve">ils </w:t>
      </w:r>
      <w:r w:rsidRPr="005732F6">
        <w:rPr>
          <w:shd w:val="clear" w:color="auto" w:fill="FFFFFF"/>
          <w:lang w:val="fr-CA"/>
        </w:rPr>
        <w:t xml:space="preserve">peuvent assumer </w:t>
      </w:r>
      <w:r w:rsidR="004712DF" w:rsidRPr="005732F6">
        <w:rPr>
          <w:shd w:val="clear" w:color="auto" w:fill="FFFFFF"/>
          <w:lang w:val="fr-CA"/>
        </w:rPr>
        <w:t>un</w:t>
      </w:r>
      <w:r w:rsidRPr="005732F6">
        <w:rPr>
          <w:shd w:val="clear" w:color="auto" w:fill="FFFFFF"/>
          <w:lang w:val="fr-CA"/>
        </w:rPr>
        <w:t xml:space="preserve"> rôle</w:t>
      </w:r>
      <w:r w:rsidR="006F16F8" w:rsidRPr="005732F6">
        <w:rPr>
          <w:shd w:val="clear" w:color="auto" w:fill="FFFFFF"/>
          <w:lang w:val="fr-CA"/>
        </w:rPr>
        <w:t xml:space="preserve"> </w:t>
      </w:r>
      <w:hyperlink r:id="rId20" w:history="1">
        <w:r w:rsidRPr="005732F6">
          <w:rPr>
            <w:rStyle w:val="Hyperlink"/>
            <w:shd w:val="clear" w:color="auto" w:fill="FFFFFF"/>
            <w:lang w:val="fr-CA"/>
          </w:rPr>
          <w:t>d'agent de connaissances</w:t>
        </w:r>
      </w:hyperlink>
      <w:r w:rsidR="006F16F8" w:rsidRPr="005732F6">
        <w:rPr>
          <w:shd w:val="clear" w:color="auto" w:fill="FFFFFF"/>
          <w:lang w:val="fr-CA"/>
        </w:rPr>
        <w:t xml:space="preserve">, </w:t>
      </w:r>
      <w:r w:rsidRPr="005732F6">
        <w:rPr>
          <w:shd w:val="clear" w:color="auto" w:fill="FFFFFF"/>
          <w:lang w:val="fr-CA"/>
        </w:rPr>
        <w:t xml:space="preserve">fournissant une multitude d’informations sur les essais de laboratoire, accumulées pendant leur formation et </w:t>
      </w:r>
      <w:r w:rsidR="008A27B6" w:rsidRPr="005732F6">
        <w:rPr>
          <w:shd w:val="clear" w:color="auto" w:fill="FFFFFF"/>
          <w:lang w:val="fr-CA"/>
        </w:rPr>
        <w:t xml:space="preserve">leur expérience professionnelle. Cependant, comme indiqué </w:t>
      </w:r>
      <w:r w:rsidR="00241911" w:rsidRPr="005732F6">
        <w:rPr>
          <w:shd w:val="clear" w:color="auto" w:fill="FFFFFF"/>
          <w:lang w:val="fr-CA"/>
        </w:rPr>
        <w:t>précédemment</w:t>
      </w:r>
      <w:r w:rsidR="008A27B6" w:rsidRPr="005732F6">
        <w:rPr>
          <w:shd w:val="clear" w:color="auto" w:fill="FFFFFF"/>
          <w:lang w:val="fr-CA"/>
        </w:rPr>
        <w:t>,</w:t>
      </w:r>
      <w:r w:rsidR="00B10AA2">
        <w:rPr>
          <w:shd w:val="clear" w:color="auto" w:fill="FFFFFF"/>
          <w:lang w:val="fr-CA"/>
        </w:rPr>
        <w:t xml:space="preserve"> il arrive que</w:t>
      </w:r>
      <w:r w:rsidR="008A27B6" w:rsidRPr="005732F6">
        <w:rPr>
          <w:shd w:val="clear" w:color="auto" w:fill="FFFFFF"/>
          <w:lang w:val="fr-CA"/>
        </w:rPr>
        <w:t xml:space="preserve"> les PLM ne </w:t>
      </w:r>
      <w:r w:rsidR="00B10AA2">
        <w:rPr>
          <w:shd w:val="clear" w:color="auto" w:fill="FFFFFF"/>
          <w:lang w:val="fr-CA"/>
        </w:rPr>
        <w:t>collaborent pas souvent</w:t>
      </w:r>
      <w:r w:rsidR="008A27B6" w:rsidRPr="005732F6">
        <w:rPr>
          <w:shd w:val="clear" w:color="auto" w:fill="FFFFFF"/>
          <w:lang w:val="fr-CA"/>
        </w:rPr>
        <w:t xml:space="preserve"> avec leurs collègues cliniques </w:t>
      </w:r>
      <w:r w:rsidR="004712DF" w:rsidRPr="005732F6">
        <w:rPr>
          <w:shd w:val="clear" w:color="auto" w:fill="FFFFFF"/>
          <w:lang w:val="fr-CA"/>
        </w:rPr>
        <w:t>à l’extérieur</w:t>
      </w:r>
      <w:r w:rsidR="008A27B6" w:rsidRPr="005732F6">
        <w:rPr>
          <w:shd w:val="clear" w:color="auto" w:fill="FFFFFF"/>
          <w:lang w:val="fr-CA"/>
        </w:rPr>
        <w:t xml:space="preserve"> du laboratoire. Cette situation </w:t>
      </w:r>
      <w:r w:rsidR="004712DF" w:rsidRPr="005732F6">
        <w:rPr>
          <w:shd w:val="clear" w:color="auto" w:fill="FFFFFF"/>
          <w:lang w:val="fr-CA"/>
        </w:rPr>
        <w:t>est</w:t>
      </w:r>
      <w:r w:rsidR="008A27B6" w:rsidRPr="005732F6">
        <w:rPr>
          <w:shd w:val="clear" w:color="auto" w:fill="FFFFFF"/>
          <w:lang w:val="fr-CA"/>
        </w:rPr>
        <w:t xml:space="preserve"> reflétée dans les réponses à notre sondage Examen des sujets brûlants :</w:t>
      </w:r>
    </w:p>
    <w:p w:rsidR="006F16F8" w:rsidRPr="005732F6" w:rsidRDefault="00241911" w:rsidP="006F16F8">
      <w:pPr>
        <w:pStyle w:val="CSMLS-Body"/>
        <w:numPr>
          <w:ilvl w:val="0"/>
          <w:numId w:val="14"/>
        </w:numPr>
        <w:rPr>
          <w:szCs w:val="22"/>
          <w:shd w:val="clear" w:color="auto" w:fill="FFFFFF"/>
          <w:lang w:val="fr-CA"/>
        </w:rPr>
      </w:pPr>
      <w:r w:rsidRPr="005732F6">
        <w:rPr>
          <w:szCs w:val="22"/>
          <w:shd w:val="clear" w:color="auto" w:fill="FFFFFF"/>
          <w:lang w:val="fr-CA"/>
        </w:rPr>
        <w:t>Soixante-dix-huit pour cent ont indiqué qu’ils ne contribuent jamais à des conversations cliniques avec les patients et leurs familles.</w:t>
      </w:r>
    </w:p>
    <w:p w:rsidR="006F16F8" w:rsidRPr="005732F6" w:rsidRDefault="00241911" w:rsidP="006F16F8">
      <w:pPr>
        <w:pStyle w:val="CSMLS-Body"/>
        <w:numPr>
          <w:ilvl w:val="0"/>
          <w:numId w:val="14"/>
        </w:numPr>
        <w:rPr>
          <w:szCs w:val="22"/>
          <w:shd w:val="clear" w:color="auto" w:fill="FFFFFF"/>
          <w:lang w:val="fr-CA"/>
        </w:rPr>
      </w:pPr>
      <w:r w:rsidRPr="005732F6">
        <w:rPr>
          <w:szCs w:val="22"/>
          <w:shd w:val="clear" w:color="auto" w:fill="FFFFFF"/>
          <w:lang w:val="fr-CA"/>
        </w:rPr>
        <w:t xml:space="preserve">Quatre-vingt-six pour cent croyaient qu’ils devraient participer plus fréquemment à des conversations cliniques avec les </w:t>
      </w:r>
      <w:r w:rsidR="00B10AA2">
        <w:rPr>
          <w:szCs w:val="22"/>
          <w:shd w:val="clear" w:color="auto" w:fill="FFFFFF"/>
          <w:lang w:val="fr-CA"/>
        </w:rPr>
        <w:t>professionnels</w:t>
      </w:r>
      <w:r w:rsidRPr="005732F6">
        <w:rPr>
          <w:szCs w:val="22"/>
          <w:shd w:val="clear" w:color="auto" w:fill="FFFFFF"/>
          <w:lang w:val="fr-CA"/>
        </w:rPr>
        <w:t xml:space="preserve"> de soins</w:t>
      </w:r>
      <w:r w:rsidR="00B10AA2">
        <w:rPr>
          <w:szCs w:val="22"/>
          <w:shd w:val="clear" w:color="auto" w:fill="FFFFFF"/>
          <w:lang w:val="fr-CA"/>
        </w:rPr>
        <w:t xml:space="preserve"> de santé</w:t>
      </w:r>
    </w:p>
    <w:p w:rsidR="006F16F8" w:rsidRPr="005732F6" w:rsidRDefault="004712DF" w:rsidP="006F16F8">
      <w:pPr>
        <w:pStyle w:val="CSMLS-Body"/>
        <w:numPr>
          <w:ilvl w:val="0"/>
          <w:numId w:val="13"/>
        </w:numPr>
        <w:rPr>
          <w:rFonts w:eastAsia="Times New Roman" w:cs="Calibri"/>
          <w:color w:val="000000"/>
          <w:szCs w:val="22"/>
          <w:lang w:val="fr-CA" w:eastAsia="en-CA"/>
        </w:rPr>
      </w:pPr>
      <w:r w:rsidRPr="005732F6">
        <w:rPr>
          <w:rFonts w:eastAsia="Times New Roman" w:cs="Calibri"/>
          <w:color w:val="000000"/>
          <w:szCs w:val="22"/>
          <w:lang w:val="fr-CA" w:eastAsia="en-CA"/>
        </w:rPr>
        <w:lastRenderedPageBreak/>
        <w:t xml:space="preserve">Soixante-et-onze pour cent ont </w:t>
      </w:r>
      <w:r w:rsidRPr="005732F6">
        <w:rPr>
          <w:lang w:val="fr-CA"/>
        </w:rPr>
        <w:t>constaté une participation réduite par les technologistes de laboratoire médical à des conversations cliniques, et 67 % ont o</w:t>
      </w:r>
      <w:r w:rsidRPr="005732F6">
        <w:rPr>
          <w:rFonts w:eastAsia="Times New Roman" w:cs="Calibri"/>
          <w:color w:val="000000"/>
          <w:szCs w:val="22"/>
          <w:lang w:val="fr-CA" w:eastAsia="en-CA"/>
        </w:rPr>
        <w:t>bservé une diminution semblable pour les adjoints de laboratoire médical</w:t>
      </w:r>
      <w:r w:rsidR="006F16F8" w:rsidRPr="005732F6">
        <w:rPr>
          <w:rFonts w:eastAsia="Times New Roman" w:cs="Calibri"/>
          <w:color w:val="000000"/>
          <w:szCs w:val="22"/>
          <w:lang w:val="fr-CA" w:eastAsia="en-CA"/>
        </w:rPr>
        <w:t>.</w:t>
      </w:r>
    </w:p>
    <w:p w:rsidR="006F16F8" w:rsidRPr="005732F6" w:rsidRDefault="008A439F" w:rsidP="00B31D54">
      <w:pPr>
        <w:pStyle w:val="CSMLS-Body"/>
        <w:spacing w:line="276" w:lineRule="auto"/>
        <w:rPr>
          <w:shd w:val="clear" w:color="auto" w:fill="FFFFFF"/>
          <w:lang w:val="fr-CA"/>
        </w:rPr>
      </w:pPr>
      <w:r w:rsidRPr="005732F6">
        <w:rPr>
          <w:rFonts w:cstheme="minorHAnsi"/>
          <w:color w:val="000000"/>
          <w:shd w:val="clear" w:color="auto" w:fill="FFFFFF"/>
          <w:lang w:val="fr-CA"/>
        </w:rPr>
        <w:t xml:space="preserve">Les PLM et les membres d’administration responsables de la surveillance de laboratoires cliniques ont un rôle principal </w:t>
      </w:r>
      <w:r w:rsidR="00921007" w:rsidRPr="005732F6">
        <w:rPr>
          <w:rFonts w:cstheme="minorHAnsi"/>
          <w:color w:val="000000"/>
          <w:shd w:val="clear" w:color="auto" w:fill="FFFFFF"/>
          <w:lang w:val="fr-CA"/>
        </w:rPr>
        <w:t>grandissant</w:t>
      </w:r>
      <w:r w:rsidRPr="005732F6">
        <w:rPr>
          <w:rFonts w:cstheme="minorHAnsi"/>
          <w:color w:val="000000"/>
          <w:shd w:val="clear" w:color="auto" w:fill="FFFFFF"/>
          <w:lang w:val="fr-CA"/>
        </w:rPr>
        <w:t xml:space="preserve"> de protéger l’utilisation appropriée des tests de laboratoire</w:t>
      </w:r>
      <w:r w:rsidR="00B31D54" w:rsidRPr="005732F6">
        <w:rPr>
          <w:rFonts w:cstheme="minorHAnsi"/>
          <w:color w:val="000000"/>
          <w:shd w:val="clear" w:color="auto" w:fill="FFFFFF"/>
          <w:lang w:val="fr-CA"/>
        </w:rPr>
        <w:t>. Un</w:t>
      </w:r>
      <w:r w:rsidR="006F16F8" w:rsidRPr="005732F6">
        <w:rPr>
          <w:rFonts w:cstheme="minorHAnsi"/>
          <w:color w:val="000000" w:themeColor="text1"/>
          <w:lang w:val="fr-CA"/>
        </w:rPr>
        <w:t xml:space="preserve"> </w:t>
      </w:r>
      <w:hyperlink r:id="rId21" w:history="1">
        <w:r w:rsidR="00B31D54" w:rsidRPr="005732F6">
          <w:rPr>
            <w:rStyle w:val="Hyperlink"/>
            <w:rFonts w:cstheme="minorHAnsi"/>
            <w:lang w:val="fr-CA"/>
          </w:rPr>
          <w:t>examen systématique</w:t>
        </w:r>
      </w:hyperlink>
      <w:r w:rsidR="006F16F8" w:rsidRPr="005732F6">
        <w:rPr>
          <w:rFonts w:cstheme="minorHAnsi"/>
          <w:color w:val="000000" w:themeColor="text1"/>
          <w:lang w:val="fr-CA"/>
        </w:rPr>
        <w:t xml:space="preserve"> </w:t>
      </w:r>
      <w:r w:rsidR="00B31D54" w:rsidRPr="005732F6">
        <w:rPr>
          <w:rFonts w:cstheme="minorHAnsi"/>
          <w:color w:val="000000" w:themeColor="text1"/>
          <w:lang w:val="fr-CA"/>
        </w:rPr>
        <w:t>a considéré des interventions publiées visant à réduire les commandes d’analyses de laboratoire par des médecins de famille, et on a pu démontrer l’impact des équipes de laboratoire clinique. Dix études étaient en mesure d’atteindre une réduction de tests de 35 % en moyenne</w:t>
      </w:r>
      <w:r w:rsidR="006F16F8" w:rsidRPr="005732F6">
        <w:rPr>
          <w:rStyle w:val="title-text"/>
          <w:rFonts w:cstheme="minorHAnsi"/>
          <w:color w:val="000000" w:themeColor="text1"/>
          <w:lang w:val="fr-CA"/>
        </w:rPr>
        <w:t xml:space="preserve"> </w:t>
      </w:r>
      <w:r w:rsidR="00B31D54" w:rsidRPr="005732F6">
        <w:rPr>
          <w:rStyle w:val="title-text"/>
          <w:rFonts w:cstheme="minorHAnsi"/>
          <w:color w:val="000000" w:themeColor="text1"/>
          <w:lang w:val="fr-CA"/>
        </w:rPr>
        <w:t xml:space="preserve">relativement à 19 analyses ciblées. Parmi ces </w:t>
      </w:r>
      <w:r w:rsidR="0045797D" w:rsidRPr="005732F6">
        <w:rPr>
          <w:rStyle w:val="title-text"/>
          <w:rFonts w:cstheme="minorHAnsi"/>
          <w:color w:val="000000" w:themeColor="text1"/>
          <w:lang w:val="fr-CA"/>
        </w:rPr>
        <w:t>études, sept ont modifié leurs formulaires de laboratoire (dont les deux plus importantes comp</w:t>
      </w:r>
      <w:r w:rsidR="00986546" w:rsidRPr="005732F6">
        <w:rPr>
          <w:rStyle w:val="title-text"/>
          <w:rFonts w:cstheme="minorHAnsi"/>
          <w:color w:val="000000" w:themeColor="text1"/>
          <w:lang w:val="fr-CA"/>
        </w:rPr>
        <w:t>taient</w:t>
      </w:r>
      <w:r w:rsidR="0045797D" w:rsidRPr="005732F6">
        <w:rPr>
          <w:rStyle w:val="title-text"/>
          <w:rFonts w:cstheme="minorHAnsi"/>
          <w:color w:val="000000" w:themeColor="text1"/>
          <w:lang w:val="fr-CA"/>
        </w:rPr>
        <w:t xml:space="preserve"> 5,2 millions et 3,2 millions d’analyses), une a négocié un protocole avec les médecins de famille, deux ont nécessité l’approbation du laboratoire et une a utilisé un modèle de rétroaction.</w:t>
      </w:r>
      <w:r w:rsidR="006F16F8" w:rsidRPr="005732F6">
        <w:rPr>
          <w:rFonts w:cstheme="minorHAnsi"/>
          <w:color w:val="000000" w:themeColor="text1"/>
          <w:lang w:val="fr-CA"/>
        </w:rPr>
        <w:t xml:space="preserve"> </w:t>
      </w:r>
    </w:p>
    <w:p w:rsidR="006F16F8" w:rsidRPr="005732F6" w:rsidRDefault="00E72093" w:rsidP="006F16F8">
      <w:pPr>
        <w:pStyle w:val="CSMLS-Body"/>
        <w:spacing w:line="276" w:lineRule="auto"/>
        <w:rPr>
          <w:shd w:val="clear" w:color="auto" w:fill="FFFFFF"/>
          <w:lang w:val="fr-CA"/>
        </w:rPr>
      </w:pPr>
      <w:r w:rsidRPr="005732F6">
        <w:rPr>
          <w:shd w:val="clear" w:color="auto" w:fill="FFFFFF"/>
          <w:lang w:val="fr-CA"/>
        </w:rPr>
        <w:t>Le principe, c’est que nous pouvons apporter un changement significatif au système de santé et au cheminement des soins aux patients par le biais d’une augmentation des conversations cliniques.</w:t>
      </w:r>
      <w:r w:rsidR="00A70860" w:rsidRPr="005732F6">
        <w:rPr>
          <w:shd w:val="clear" w:color="auto" w:fill="FFFFFF"/>
          <w:lang w:val="fr-CA"/>
        </w:rPr>
        <w:t xml:space="preserve"> Il suffit de saisir l’occasion!</w:t>
      </w:r>
    </w:p>
    <w:p w:rsidR="006F16F8" w:rsidRPr="005732F6" w:rsidRDefault="007A779E" w:rsidP="006F16F8">
      <w:pPr>
        <w:pStyle w:val="ListParagraph"/>
        <w:numPr>
          <w:ilvl w:val="0"/>
          <w:numId w:val="15"/>
        </w:numPr>
        <w:rPr>
          <w:rFonts w:ascii="Rockwell" w:hAnsi="Rockwell"/>
          <w:i/>
          <w:shd w:val="clear" w:color="auto" w:fill="FFFFFF"/>
          <w:lang w:val="fr-CA"/>
        </w:rPr>
      </w:pPr>
      <w:r w:rsidRPr="005732F6">
        <w:rPr>
          <w:rFonts w:ascii="Rockwell" w:hAnsi="Rockwell"/>
          <w:i/>
          <w:shd w:val="clear" w:color="auto" w:fill="FFFFFF"/>
          <w:lang w:val="fr-CA"/>
        </w:rPr>
        <w:t>« En participant plus fréquemment à la conversation, on est plus en mesure d’échanger des idées et des connaissances pour l’amélioration des soins de santé. »</w:t>
      </w:r>
    </w:p>
    <w:p w:rsidR="006F16F8" w:rsidRPr="005732F6" w:rsidRDefault="00E82D51" w:rsidP="006F16F8">
      <w:pPr>
        <w:pStyle w:val="ListParagraph"/>
        <w:numPr>
          <w:ilvl w:val="0"/>
          <w:numId w:val="15"/>
        </w:numPr>
        <w:rPr>
          <w:rFonts w:ascii="Rockwell" w:hAnsi="Rockwell"/>
          <w:i/>
          <w:shd w:val="clear" w:color="auto" w:fill="FFFFFF"/>
          <w:lang w:val="fr-CA"/>
        </w:rPr>
      </w:pPr>
      <w:r w:rsidRPr="005732F6">
        <w:rPr>
          <w:rFonts w:ascii="Rockwell" w:hAnsi="Rockwell"/>
          <w:i/>
          <w:shd w:val="clear" w:color="auto" w:fill="FFFFFF"/>
          <w:lang w:val="fr-CA"/>
        </w:rPr>
        <w:t>« Chacune et chacun dans le domaine des</w:t>
      </w:r>
      <w:r w:rsidR="00595DC1" w:rsidRPr="005732F6">
        <w:rPr>
          <w:rFonts w:ascii="Rockwell" w:hAnsi="Rockwell"/>
          <w:i/>
          <w:shd w:val="clear" w:color="auto" w:fill="FFFFFF"/>
          <w:lang w:val="fr-CA"/>
        </w:rPr>
        <w:t xml:space="preserve"> soins de santé joue un rôle et a sa spécialisation particulière. En respectant les autres professionnels et leur expertise, on arrivera toujours </w:t>
      </w:r>
      <w:r w:rsidR="008F5AE8">
        <w:rPr>
          <w:rFonts w:ascii="Rockwell" w:hAnsi="Rockwell"/>
          <w:i/>
          <w:shd w:val="clear" w:color="auto" w:fill="FFFFFF"/>
          <w:lang w:val="fr-CA"/>
        </w:rPr>
        <w:t>aux</w:t>
      </w:r>
      <w:r w:rsidR="00595DC1" w:rsidRPr="005732F6">
        <w:rPr>
          <w:rFonts w:ascii="Rockwell" w:hAnsi="Rockwell"/>
          <w:i/>
          <w:shd w:val="clear" w:color="auto" w:fill="FFFFFF"/>
          <w:lang w:val="fr-CA"/>
        </w:rPr>
        <w:t xml:space="preserve"> solutions les plus positives et les plus fonctionnelles. Toutefois, on a tendance à négliger le personnel de première ligne en faveur des gestionnaires mieux payés et d’autorité supérieure. »</w:t>
      </w:r>
      <w:r w:rsidR="006F16F8" w:rsidRPr="005732F6">
        <w:rPr>
          <w:rFonts w:ascii="Rockwell" w:hAnsi="Rockwell"/>
          <w:i/>
          <w:shd w:val="clear" w:color="auto" w:fill="FFFFFF"/>
          <w:lang w:val="fr-CA"/>
        </w:rPr>
        <w:t xml:space="preserve"> </w:t>
      </w:r>
    </w:p>
    <w:p w:rsidR="006F16F8" w:rsidRPr="005732F6" w:rsidRDefault="00595DC1" w:rsidP="006F16F8">
      <w:pPr>
        <w:pStyle w:val="ListParagraph"/>
        <w:numPr>
          <w:ilvl w:val="0"/>
          <w:numId w:val="15"/>
        </w:numPr>
        <w:rPr>
          <w:rFonts w:ascii="Rockwell" w:hAnsi="Rockwell"/>
          <w:i/>
          <w:shd w:val="clear" w:color="auto" w:fill="FFFFFF"/>
          <w:lang w:val="fr-CA"/>
        </w:rPr>
      </w:pPr>
      <w:r w:rsidRPr="005732F6">
        <w:rPr>
          <w:rFonts w:ascii="Rockwell" w:hAnsi="Rockwell"/>
          <w:i/>
          <w:shd w:val="clear" w:color="auto" w:fill="FFFFFF"/>
          <w:lang w:val="fr-CA"/>
        </w:rPr>
        <w:t xml:space="preserve">« L’image clinique n’est pas toujours fournie par le médecin, ce qui est </w:t>
      </w:r>
      <w:r w:rsidR="00EB76C8" w:rsidRPr="005732F6">
        <w:rPr>
          <w:rFonts w:ascii="Rockwell" w:hAnsi="Rockwell"/>
          <w:i/>
          <w:shd w:val="clear" w:color="auto" w:fill="FFFFFF"/>
          <w:lang w:val="fr-CA"/>
        </w:rPr>
        <w:t>essentiel</w:t>
      </w:r>
      <w:r w:rsidRPr="005732F6">
        <w:rPr>
          <w:rFonts w:ascii="Rockwell" w:hAnsi="Rockwell"/>
          <w:i/>
          <w:shd w:val="clear" w:color="auto" w:fill="FFFFFF"/>
          <w:lang w:val="fr-CA"/>
        </w:rPr>
        <w:t xml:space="preserve"> pour comprendre des résultats atypiques. »</w:t>
      </w:r>
    </w:p>
    <w:p w:rsidR="006F16F8" w:rsidRPr="005732F6" w:rsidRDefault="00CF6319" w:rsidP="006F16F8">
      <w:pPr>
        <w:rPr>
          <w:shd w:val="clear" w:color="auto" w:fill="FFFFFF"/>
          <w:lang w:val="fr-CA"/>
        </w:rPr>
      </w:pPr>
      <w:r w:rsidRPr="005732F6">
        <w:rPr>
          <w:shd w:val="clear" w:color="auto" w:fill="FFFFFF"/>
          <w:lang w:val="fr-CA"/>
        </w:rPr>
        <w:t>Mais comment y parvenir? Le tout commence par une conversation.</w:t>
      </w:r>
    </w:p>
    <w:p w:rsidR="006F16F8" w:rsidRPr="005732F6" w:rsidRDefault="00A80451" w:rsidP="006F16F8">
      <w:pPr>
        <w:ind w:left="720"/>
        <w:rPr>
          <w:rFonts w:ascii="Times New Roman" w:hAnsi="Times New Roman" w:cs="Times New Roman"/>
          <w:lang w:val="fr-CA" w:eastAsia="ja-JP"/>
        </w:rPr>
      </w:pPr>
      <w:hyperlink r:id="rId22" w:history="1">
        <w:r w:rsidR="00020797" w:rsidRPr="005732F6">
          <w:rPr>
            <w:rStyle w:val="Hyperlink"/>
            <w:shd w:val="clear" w:color="auto" w:fill="FFFFFF"/>
            <w:lang w:val="fr-CA"/>
          </w:rPr>
          <w:t>Selon Kathleen Swanson</w:t>
        </w:r>
      </w:hyperlink>
      <w:r w:rsidR="006F16F8" w:rsidRPr="005732F6">
        <w:rPr>
          <w:shd w:val="clear" w:color="auto" w:fill="FFFFFF"/>
          <w:lang w:val="fr-CA"/>
        </w:rPr>
        <w:t xml:space="preserve">, </w:t>
      </w:r>
      <w:r w:rsidR="00350988" w:rsidRPr="005732F6">
        <w:rPr>
          <w:shd w:val="clear" w:color="auto" w:fill="FFFFFF"/>
          <w:lang w:val="fr-CA"/>
        </w:rPr>
        <w:t xml:space="preserve">« L’établissement des relations hors du laboratoire permet aux professionnels de laboratoire d’identifier et de comprendre les facteurs déterminants des questions financières et </w:t>
      </w:r>
      <w:r w:rsidR="00776DE5" w:rsidRPr="005732F6">
        <w:rPr>
          <w:shd w:val="clear" w:color="auto" w:fill="FFFFFF"/>
          <w:lang w:val="fr-CA"/>
        </w:rPr>
        <w:t>de la satisfaction des patients. Par exemple, les travailleurs en labo offrent régulièrement des consultations aux labos relatives à l’utilisation des analyses et à l’interprétation des résultats. Cette expertise peut servir à soutenir des programmes de gestion des maladies ou des techniques d’aide à la décision impliquant des conditions coûteuses comme la septicémie en milieu hospitalier ou le diabète en milieu ambulatoire. »</w:t>
      </w:r>
    </w:p>
    <w:p w:rsidR="006F16F8" w:rsidRPr="005732F6" w:rsidRDefault="00A80451" w:rsidP="006F16F8">
      <w:pPr>
        <w:ind w:left="720"/>
        <w:rPr>
          <w:lang w:val="fr-CA"/>
        </w:rPr>
      </w:pPr>
      <w:hyperlink r:id="rId23" w:history="1">
        <w:proofErr w:type="spellStart"/>
        <w:r w:rsidR="001A4034" w:rsidRPr="00182771">
          <w:rPr>
            <w:rStyle w:val="Hyperlink"/>
            <w:spacing w:val="2"/>
            <w:shd w:val="clear" w:color="auto" w:fill="FFFFFF"/>
          </w:rPr>
          <w:t>Selon</w:t>
        </w:r>
        <w:proofErr w:type="spellEnd"/>
        <w:r w:rsidR="001A4034" w:rsidRPr="00182771">
          <w:rPr>
            <w:rStyle w:val="Hyperlink"/>
            <w:spacing w:val="2"/>
            <w:shd w:val="clear" w:color="auto" w:fill="FFFFFF"/>
          </w:rPr>
          <w:t xml:space="preserve"> John David Larkin Nolen</w:t>
        </w:r>
      </w:hyperlink>
      <w:r w:rsidR="006F16F8" w:rsidRPr="00182771">
        <w:rPr>
          <w:color w:val="000000"/>
          <w:spacing w:val="2"/>
          <w:shd w:val="clear" w:color="auto" w:fill="FFFFFF"/>
        </w:rPr>
        <w:t xml:space="preserve">, </w:t>
      </w:r>
      <w:r w:rsidR="00B96388" w:rsidRPr="00182771">
        <w:rPr>
          <w:color w:val="000000"/>
          <w:spacing w:val="2"/>
          <w:shd w:val="clear" w:color="auto" w:fill="FFFFFF"/>
        </w:rPr>
        <w:t>« </w:t>
      </w:r>
      <w:r w:rsidR="006F16F8" w:rsidRPr="00182771">
        <w:rPr>
          <w:color w:val="000000"/>
          <w:spacing w:val="2"/>
          <w:shd w:val="clear" w:color="auto" w:fill="FFFFFF"/>
        </w:rPr>
        <w:t xml:space="preserve">[…] </w:t>
      </w:r>
      <w:r w:rsidR="00B96388" w:rsidRPr="005732F6">
        <w:rPr>
          <w:color w:val="000000"/>
          <w:spacing w:val="2"/>
          <w:shd w:val="clear" w:color="auto" w:fill="FFFFFF"/>
          <w:lang w:val="fr-CA"/>
        </w:rPr>
        <w:t>Ravivez votre engagement auprès de l’équipe des soins et communiquez vos connaissances au-delà des bornes conventionnelles du rapport de laboratoire. Ce rapport peut représenter le tout début de la conversation,</w:t>
      </w:r>
      <w:r w:rsidR="003549D8" w:rsidRPr="005732F6">
        <w:rPr>
          <w:color w:val="000000"/>
          <w:spacing w:val="2"/>
          <w:shd w:val="clear" w:color="auto" w:fill="FFFFFF"/>
          <w:lang w:val="fr-CA"/>
        </w:rPr>
        <w:t xml:space="preserve"> non le produit final de vos travaux. Après tout, il y a bien longtemps que les cliniciens consomment effectivement et utilisent un menu d’analyses de laboratoire, tant du côté de</w:t>
      </w:r>
      <w:r w:rsidR="008F5AE8">
        <w:rPr>
          <w:color w:val="000000"/>
          <w:spacing w:val="2"/>
          <w:shd w:val="clear" w:color="auto" w:fill="FFFFFF"/>
          <w:lang w:val="fr-CA"/>
        </w:rPr>
        <w:t>s</w:t>
      </w:r>
      <w:r w:rsidR="003549D8" w:rsidRPr="005732F6">
        <w:rPr>
          <w:color w:val="000000"/>
          <w:spacing w:val="2"/>
          <w:shd w:val="clear" w:color="auto" w:fill="FFFFFF"/>
          <w:lang w:val="fr-CA"/>
        </w:rPr>
        <w:t xml:space="preserve"> commandes que de</w:t>
      </w:r>
      <w:r w:rsidR="008F5AE8">
        <w:rPr>
          <w:color w:val="000000"/>
          <w:spacing w:val="2"/>
          <w:shd w:val="clear" w:color="auto" w:fill="FFFFFF"/>
          <w:lang w:val="fr-CA"/>
        </w:rPr>
        <w:t>s</w:t>
      </w:r>
      <w:r w:rsidR="003549D8" w:rsidRPr="005732F6">
        <w:rPr>
          <w:color w:val="000000"/>
          <w:spacing w:val="2"/>
          <w:shd w:val="clear" w:color="auto" w:fill="FFFFFF"/>
          <w:lang w:val="fr-CA"/>
        </w:rPr>
        <w:t xml:space="preserve"> résultats. Ces derniers ont assez de difficultés à garder la tête hors de l’eau dans le contexte</w:t>
      </w:r>
      <w:r w:rsidR="00892323" w:rsidRPr="005732F6">
        <w:rPr>
          <w:color w:val="000000"/>
          <w:spacing w:val="2"/>
          <w:shd w:val="clear" w:color="auto" w:fill="FFFFFF"/>
          <w:lang w:val="fr-CA"/>
        </w:rPr>
        <w:t xml:space="preserve"> des connaissances médicales en évolution rapide dans leurs </w:t>
      </w:r>
      <w:r w:rsidR="00892323" w:rsidRPr="005732F6">
        <w:rPr>
          <w:color w:val="000000"/>
          <w:spacing w:val="2"/>
          <w:shd w:val="clear" w:color="auto" w:fill="FFFFFF"/>
          <w:lang w:val="fr-CA"/>
        </w:rPr>
        <w:lastRenderedPageBreak/>
        <w:t>domaines, ainsi que les pressions supplémentaires et le bruit imposés par la pratique courante de médecine. Ils souhaitent parler avec vous! »</w:t>
      </w:r>
      <w:r w:rsidR="003549D8" w:rsidRPr="005732F6">
        <w:rPr>
          <w:color w:val="000000"/>
          <w:spacing w:val="2"/>
          <w:shd w:val="clear" w:color="auto" w:fill="FFFFFF"/>
          <w:lang w:val="fr-CA"/>
        </w:rPr>
        <w:t xml:space="preserve">  </w:t>
      </w:r>
      <w:r w:rsidR="00B96388" w:rsidRPr="005732F6">
        <w:rPr>
          <w:color w:val="000000"/>
          <w:spacing w:val="2"/>
          <w:shd w:val="clear" w:color="auto" w:fill="FFFFFF"/>
          <w:lang w:val="fr-CA"/>
        </w:rPr>
        <w:t xml:space="preserve"> </w:t>
      </w:r>
      <w:r w:rsidR="006F16F8" w:rsidRPr="005732F6">
        <w:rPr>
          <w:color w:val="000000"/>
          <w:spacing w:val="2"/>
          <w:shd w:val="clear" w:color="auto" w:fill="FFFFFF"/>
          <w:lang w:val="fr-CA"/>
        </w:rPr>
        <w:t xml:space="preserve"> </w:t>
      </w:r>
    </w:p>
    <w:p w:rsidR="0039594F" w:rsidRPr="005732F6" w:rsidRDefault="0039594F" w:rsidP="006F16F8">
      <w:pPr>
        <w:spacing w:line="240" w:lineRule="auto"/>
        <w:rPr>
          <w:lang w:val="fr-CA"/>
        </w:rPr>
      </w:pPr>
      <w:r w:rsidRPr="005732F6">
        <w:rPr>
          <w:b/>
          <w:lang w:val="fr-CA"/>
        </w:rPr>
        <w:t>De quelle autre façon les PLM peuvent-ils soutenir la conversation clinique</w:t>
      </w:r>
      <w:r w:rsidR="006F16F8" w:rsidRPr="005732F6">
        <w:rPr>
          <w:b/>
          <w:lang w:val="fr-CA"/>
        </w:rPr>
        <w:t xml:space="preserve">? </w:t>
      </w:r>
      <w:r w:rsidRPr="005732F6">
        <w:rPr>
          <w:lang w:val="fr-CA"/>
        </w:rPr>
        <w:t xml:space="preserve">Être PLM ne signifie pas </w:t>
      </w:r>
      <w:r w:rsidR="00CB3C36" w:rsidRPr="005732F6">
        <w:rPr>
          <w:lang w:val="fr-CA"/>
        </w:rPr>
        <w:t>que l’on doit</w:t>
      </w:r>
      <w:r w:rsidRPr="005732F6">
        <w:rPr>
          <w:lang w:val="fr-CA"/>
        </w:rPr>
        <w:t xml:space="preserve"> percevoir la représentation seulement en termes du labo. Vous faites également partie du système de santé plus étendu. Par exemple :</w:t>
      </w:r>
    </w:p>
    <w:p w:rsidR="006F16F8" w:rsidRPr="005732F6" w:rsidRDefault="00CB3C36" w:rsidP="006F16F8">
      <w:pPr>
        <w:pStyle w:val="ListParagraph"/>
        <w:numPr>
          <w:ilvl w:val="0"/>
          <w:numId w:val="2"/>
        </w:numPr>
        <w:spacing w:line="240" w:lineRule="auto"/>
        <w:rPr>
          <w:rFonts w:ascii="Rockwell" w:hAnsi="Rockwell"/>
          <w:lang w:val="fr-CA"/>
        </w:rPr>
      </w:pPr>
      <w:r w:rsidRPr="005732F6">
        <w:rPr>
          <w:rFonts w:ascii="Rockwell" w:hAnsi="Rockwell"/>
          <w:lang w:val="fr-CA"/>
        </w:rPr>
        <w:t>La prochaine fois qu’un professionnel de la santé appelle le labo, prenez un instant pour demander à la personne si elle veut en savoir plus sur une analyse de labo en particulier. Vous pouvez la rappeler ou envoyer les renseignements par courriel au moment propice.</w:t>
      </w:r>
    </w:p>
    <w:p w:rsidR="006F16F8" w:rsidRPr="005732F6" w:rsidRDefault="005732F6" w:rsidP="006F16F8">
      <w:pPr>
        <w:pStyle w:val="ListParagraph"/>
        <w:numPr>
          <w:ilvl w:val="0"/>
          <w:numId w:val="2"/>
        </w:numPr>
        <w:spacing w:line="240" w:lineRule="auto"/>
        <w:rPr>
          <w:rFonts w:ascii="Rockwell" w:hAnsi="Rockwell"/>
          <w:lang w:val="fr-CA"/>
        </w:rPr>
      </w:pPr>
      <w:r w:rsidRPr="005732F6">
        <w:rPr>
          <w:rFonts w:ascii="Rockwell" w:hAnsi="Rockwell"/>
          <w:lang w:val="fr-CA"/>
        </w:rPr>
        <w:t>Déterminez quels projets d’utilisation</w:t>
      </w:r>
      <w:r>
        <w:rPr>
          <w:rFonts w:ascii="Rockwell" w:hAnsi="Rockwell"/>
          <w:lang w:val="fr-CA"/>
        </w:rPr>
        <w:t xml:space="preserve"> appropriée, comme Choisir avec soin Canada, sont en cours au sein de vos organisations.</w:t>
      </w:r>
    </w:p>
    <w:p w:rsidR="006F16F8" w:rsidRPr="005732F6" w:rsidRDefault="005732F6" w:rsidP="006F16F8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fr-CA"/>
        </w:rPr>
      </w:pPr>
      <w:r>
        <w:rPr>
          <w:rFonts w:ascii="Rockwell" w:hAnsi="Rockwell"/>
          <w:lang w:val="fr-CA"/>
        </w:rPr>
        <w:t>Contribuez à organiser une visite de laboratoire pour vos collègues en santé, et encouragez la participation à la Semaine nationale du laboratoire médical pour appuyer le partage de renseignements tout en vous impliquant dans des conversations cliniques.</w:t>
      </w:r>
    </w:p>
    <w:p w:rsidR="006F16F8" w:rsidRPr="005732F6" w:rsidRDefault="005732F6" w:rsidP="006F16F8">
      <w:pPr>
        <w:pStyle w:val="CSMLS-Body"/>
        <w:rPr>
          <w:rFonts w:cstheme="minorHAnsi"/>
          <w:lang w:val="fr-CA"/>
        </w:rPr>
      </w:pPr>
      <w:r>
        <w:rPr>
          <w:lang w:val="fr-CA"/>
        </w:rPr>
        <w:t>Exprimez votre opinion dans la conversation et démontrez à votre organisation que les professionnels de laboratoire médical ont une voix importante!</w:t>
      </w:r>
      <w:r w:rsidR="006F16F8" w:rsidRPr="005732F6">
        <w:rPr>
          <w:lang w:val="fr-CA"/>
        </w:rPr>
        <w:t xml:space="preserve"> </w:t>
      </w:r>
    </w:p>
    <w:p w:rsidR="006F16F8" w:rsidRPr="005732F6" w:rsidRDefault="006F16F8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6F16F8" w:rsidRDefault="006F16F8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182771" w:rsidRDefault="00182771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182771" w:rsidRDefault="00182771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182771" w:rsidRDefault="00182771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182771" w:rsidRDefault="00182771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182771" w:rsidRDefault="00182771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182771" w:rsidRDefault="00182771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182771" w:rsidRDefault="00182771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182771" w:rsidRDefault="00182771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182771" w:rsidRDefault="00182771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</w:p>
    <w:p w:rsidR="00182771" w:rsidRPr="005732F6" w:rsidRDefault="00182771" w:rsidP="006F16F8">
      <w:pPr>
        <w:spacing w:line="240" w:lineRule="auto"/>
        <w:jc w:val="center"/>
        <w:rPr>
          <w:rStyle w:val="Strong"/>
          <w:rFonts w:cstheme="minorHAnsi"/>
          <w:lang w:val="fr-CA"/>
        </w:rPr>
      </w:pPr>
      <w:bookmarkStart w:id="0" w:name="_GoBack"/>
      <w:bookmarkEnd w:id="0"/>
    </w:p>
    <w:p w:rsidR="00237E27" w:rsidRPr="005732F6" w:rsidRDefault="00237E27" w:rsidP="00237E27">
      <w:pPr>
        <w:jc w:val="center"/>
        <w:rPr>
          <w:b/>
          <w:color w:val="215868" w:themeColor="accent5" w:themeShade="80"/>
          <w:lang w:val="fr-CA"/>
        </w:rPr>
      </w:pPr>
      <w:r w:rsidRPr="005732F6">
        <w:rPr>
          <w:b/>
          <w:color w:val="215868" w:themeColor="accent5" w:themeShade="80"/>
          <w:lang w:val="fr-CA"/>
        </w:rPr>
        <w:t>Informez-vous. Soyez motivé. Parlez-en. Prenez part à la politique.</w:t>
      </w:r>
    </w:p>
    <w:p w:rsidR="006F16F8" w:rsidRPr="005732F6" w:rsidRDefault="00237E27" w:rsidP="00237E27">
      <w:pPr>
        <w:spacing w:line="240" w:lineRule="auto"/>
        <w:jc w:val="center"/>
        <w:rPr>
          <w:lang w:val="fr-CA"/>
        </w:rPr>
      </w:pPr>
      <w:r w:rsidRPr="005732F6">
        <w:rPr>
          <w:i/>
          <w:sz w:val="18"/>
          <w:szCs w:val="18"/>
          <w:lang w:val="fr-CA"/>
        </w:rPr>
        <w:t>*Les données dans cet article ne doivent pas être considérées comme généralisables à l’ensemble des professionnels de laboratoire médical car elles ont été recueillies dans le cadre d’un projet d’assurance qualité de la SCSLM.*</w:t>
      </w:r>
    </w:p>
    <w:p w:rsidR="00703C0A" w:rsidRPr="005732F6" w:rsidRDefault="00703C0A" w:rsidP="006F16F8">
      <w:pPr>
        <w:rPr>
          <w:lang w:val="fr-CA"/>
        </w:rPr>
      </w:pPr>
    </w:p>
    <w:sectPr w:rsidR="00703C0A" w:rsidRPr="005732F6" w:rsidSect="00BC669F">
      <w:headerReference w:type="default" r:id="rId24"/>
      <w:footerReference w:type="default" r:id="rId25"/>
      <w:pgSz w:w="12240" w:h="15840"/>
      <w:pgMar w:top="2160" w:right="1080" w:bottom="720" w:left="1080" w:header="418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451" w:rsidRDefault="00A80451" w:rsidP="00C9780F">
      <w:pPr>
        <w:spacing w:after="0" w:line="240" w:lineRule="auto"/>
      </w:pPr>
      <w:r>
        <w:separator/>
      </w:r>
    </w:p>
  </w:endnote>
  <w:endnote w:type="continuationSeparator" w:id="0">
    <w:p w:rsidR="00A80451" w:rsidRDefault="00A80451" w:rsidP="00C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69F" w:rsidRPr="00BC669F" w:rsidRDefault="00BC669F" w:rsidP="00BC669F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E1827B0" wp14:editId="6FB75497">
              <wp:simplePos x="0" y="0"/>
              <wp:positionH relativeFrom="margin">
                <wp:align>right</wp:align>
              </wp:positionH>
              <wp:positionV relativeFrom="page">
                <wp:posOffset>9537065</wp:posOffset>
              </wp:positionV>
              <wp:extent cx="1691640" cy="265176"/>
              <wp:effectExtent l="0" t="0" r="381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1640" cy="2651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669F" w:rsidRPr="007C56EF" w:rsidRDefault="00BC669F" w:rsidP="00BC669F">
                          <w:pPr>
                            <w:jc w:val="center"/>
                            <w:rPr>
                              <w:rFonts w:ascii="Century Gothic" w:hAnsi="Century Gothic"/>
                              <w:color w:val="595959" w:themeColor="text1" w:themeTint="A6"/>
                            </w:rPr>
                          </w:pPr>
                          <w:proofErr w:type="gramStart"/>
                          <w:r w:rsidRPr="007C56EF">
                            <w:rPr>
                              <w:rFonts w:ascii="Century Gothic" w:hAnsi="Century Gothic"/>
                              <w:color w:val="0070C0"/>
                            </w:rPr>
                            <w:t>csmls</w:t>
                          </w:r>
                          <w:r w:rsidRPr="007C56EF">
                            <w:rPr>
                              <w:rFonts w:ascii="Century Gothic" w:hAnsi="Century Gothic"/>
                              <w:color w:val="595959" w:themeColor="text1" w:themeTint="A6"/>
                            </w:rPr>
                            <w:t>.org</w:t>
                          </w:r>
                          <w:r w:rsidRPr="007C56EF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Pr="007C56EF">
                            <w:rPr>
                              <w:rFonts w:ascii="Century Gothic" w:hAnsi="Century Gothic"/>
                            </w:rPr>
                            <w:t>•</w:t>
                          </w:r>
                          <w:proofErr w:type="gramEnd"/>
                          <w:r w:rsidRPr="007C56EF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Pr="007C56EF">
                            <w:rPr>
                              <w:rFonts w:ascii="Century Gothic" w:hAnsi="Century Gothic"/>
                              <w:color w:val="0070C0"/>
                            </w:rPr>
                            <w:t>scslm</w:t>
                          </w:r>
                          <w:r w:rsidRPr="007C56EF">
                            <w:rPr>
                              <w:rFonts w:ascii="Century Gothic" w:hAnsi="Century Gothic"/>
                              <w:color w:val="595959" w:themeColor="text1" w:themeTint="A6"/>
                            </w:rPr>
                            <w:t>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827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pt;margin-top:750.95pt;width:133.2pt;height:20.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" fillcolor="white [3201]" stroked="f" strokeweight=".5pt">
              <v:textbox>
                <w:txbxContent>
                  <w:p w:rsidR="00BC669F" w:rsidRPr="007C56EF" w:rsidRDefault="00BC669F" w:rsidP="00BC669F">
                    <w:pPr>
                      <w:jc w:val="center"/>
                      <w:rPr>
                        <w:rFonts w:ascii="Century Gothic" w:hAnsi="Century Gothic"/>
                        <w:color w:val="595959" w:themeColor="text1" w:themeTint="A6"/>
                      </w:rPr>
                    </w:pPr>
                    <w:proofErr w:type="gramStart"/>
                    <w:r w:rsidRPr="007C56EF">
                      <w:rPr>
                        <w:rFonts w:ascii="Century Gothic" w:hAnsi="Century Gothic"/>
                        <w:color w:val="0070C0"/>
                      </w:rPr>
                      <w:t>csmls</w:t>
                    </w:r>
                    <w:r w:rsidRPr="007C56EF">
                      <w:rPr>
                        <w:rFonts w:ascii="Century Gothic" w:hAnsi="Century Gothic"/>
                        <w:color w:val="595959" w:themeColor="text1" w:themeTint="A6"/>
                      </w:rPr>
                      <w:t>.org</w:t>
                    </w:r>
                    <w:r w:rsidRPr="007C56EF">
                      <w:rPr>
                        <w:rFonts w:ascii="Century Gothic" w:hAnsi="Century Gothic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 xml:space="preserve"> </w:t>
                    </w:r>
                    <w:r w:rsidRPr="007C56EF">
                      <w:rPr>
                        <w:rFonts w:ascii="Century Gothic" w:hAnsi="Century Gothic"/>
                      </w:rPr>
                      <w:t>•</w:t>
                    </w:r>
                    <w:proofErr w:type="gramEnd"/>
                    <w:r w:rsidRPr="007C56EF">
                      <w:rPr>
                        <w:rFonts w:ascii="Century Gothic" w:hAnsi="Century Gothic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 xml:space="preserve"> </w:t>
                    </w:r>
                    <w:r w:rsidRPr="007C56EF">
                      <w:rPr>
                        <w:rFonts w:ascii="Century Gothic" w:hAnsi="Century Gothic"/>
                        <w:color w:val="0070C0"/>
                      </w:rPr>
                      <w:t>scslm</w:t>
                    </w:r>
                    <w:r w:rsidRPr="007C56EF">
                      <w:rPr>
                        <w:rFonts w:ascii="Century Gothic" w:hAnsi="Century Gothic"/>
                        <w:color w:val="595959" w:themeColor="text1" w:themeTint="A6"/>
                      </w:rPr>
                      <w:t>.org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451" w:rsidRDefault="00A80451" w:rsidP="00C9780F">
      <w:pPr>
        <w:spacing w:after="0" w:line="240" w:lineRule="auto"/>
      </w:pPr>
      <w:r>
        <w:separator/>
      </w:r>
    </w:p>
  </w:footnote>
  <w:footnote w:type="continuationSeparator" w:id="0">
    <w:p w:rsidR="00A80451" w:rsidRDefault="00A80451" w:rsidP="00C9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80F" w:rsidRDefault="00FE226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3360" behindDoc="1" locked="0" layoutInCell="1" allowOverlap="1" wp14:anchorId="6EE16F6A" wp14:editId="597C2BF8">
          <wp:simplePos x="0" y="0"/>
          <wp:positionH relativeFrom="column">
            <wp:posOffset>-685800</wp:posOffset>
          </wp:positionH>
          <wp:positionV relativeFrom="paragraph">
            <wp:posOffset>-151130</wp:posOffset>
          </wp:positionV>
          <wp:extent cx="7446645" cy="1183005"/>
          <wp:effectExtent l="0" t="0" r="1905" b="0"/>
          <wp:wrapTight wrapText="bothSides">
            <wp:wrapPolygon edited="0">
              <wp:start x="0" y="0"/>
              <wp:lineTo x="0" y="21217"/>
              <wp:lineTo x="21550" y="21217"/>
              <wp:lineTo x="2155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tSpot_template_F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23"/>
                  <a:stretch/>
                </pic:blipFill>
                <pic:spPr bwMode="auto">
                  <a:xfrm>
                    <a:off x="0" y="0"/>
                    <a:ext cx="7446645" cy="1183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69F">
      <w:rPr>
        <w:noProof/>
        <w:lang w:eastAsia="en-CA"/>
      </w:rPr>
      <w:drawing>
        <wp:anchor distT="0" distB="0" distL="114300" distR="114300" simplePos="0" relativeHeight="251660288" behindDoc="0" locked="1" layoutInCell="1" allowOverlap="1" wp14:anchorId="0BAFA9AE" wp14:editId="6D0D30D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566160" cy="4855464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tSpot_template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355" r="51925"/>
                  <a:stretch/>
                </pic:blipFill>
                <pic:spPr bwMode="auto">
                  <a:xfrm>
                    <a:off x="0" y="0"/>
                    <a:ext cx="3566160" cy="4855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5614"/>
    <w:multiLevelType w:val="hybridMultilevel"/>
    <w:tmpl w:val="280A8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5140B"/>
    <w:multiLevelType w:val="hybridMultilevel"/>
    <w:tmpl w:val="235CC97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534B"/>
    <w:multiLevelType w:val="hybridMultilevel"/>
    <w:tmpl w:val="6430F0AE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CE71FE"/>
    <w:multiLevelType w:val="hybridMultilevel"/>
    <w:tmpl w:val="FA5AFC7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26C27"/>
    <w:multiLevelType w:val="hybridMultilevel"/>
    <w:tmpl w:val="DD9056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E0ED7"/>
    <w:multiLevelType w:val="hybridMultilevel"/>
    <w:tmpl w:val="086E9E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C79CE"/>
    <w:multiLevelType w:val="hybridMultilevel"/>
    <w:tmpl w:val="4D6A3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7C8"/>
    <w:multiLevelType w:val="hybridMultilevel"/>
    <w:tmpl w:val="AF106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F38"/>
    <w:multiLevelType w:val="hybridMultilevel"/>
    <w:tmpl w:val="72083F6E"/>
    <w:lvl w:ilvl="0" w:tplc="F080FC94">
      <w:start w:val="14"/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35A83"/>
    <w:multiLevelType w:val="hybridMultilevel"/>
    <w:tmpl w:val="18F02D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355A4"/>
    <w:multiLevelType w:val="hybridMultilevel"/>
    <w:tmpl w:val="A672F6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8512B"/>
    <w:multiLevelType w:val="hybridMultilevel"/>
    <w:tmpl w:val="452C3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739C3"/>
    <w:multiLevelType w:val="hybridMultilevel"/>
    <w:tmpl w:val="50CC1B8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843D6"/>
    <w:multiLevelType w:val="hybridMultilevel"/>
    <w:tmpl w:val="47F6F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553B9"/>
    <w:multiLevelType w:val="hybridMultilevel"/>
    <w:tmpl w:val="FFB45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1058D"/>
    <w:multiLevelType w:val="hybridMultilevel"/>
    <w:tmpl w:val="248802F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0"/>
  </w:num>
  <w:num w:numId="14">
    <w:abstractNumId w:val="1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U0NTQwNDM0N7WwNDJW0lEKTi0uzszPAykwqQUAYzxEQywAAAA="/>
  </w:docVars>
  <w:rsids>
    <w:rsidRoot w:val="00C9780F"/>
    <w:rsid w:val="000049EE"/>
    <w:rsid w:val="0001282E"/>
    <w:rsid w:val="00020797"/>
    <w:rsid w:val="00037B80"/>
    <w:rsid w:val="00044058"/>
    <w:rsid w:val="00046F03"/>
    <w:rsid w:val="000551B9"/>
    <w:rsid w:val="00060A3D"/>
    <w:rsid w:val="00087F13"/>
    <w:rsid w:val="00090098"/>
    <w:rsid w:val="000A1A5A"/>
    <w:rsid w:val="000B7CDB"/>
    <w:rsid w:val="000E045D"/>
    <w:rsid w:val="000E6EB2"/>
    <w:rsid w:val="0011586E"/>
    <w:rsid w:val="00126BA1"/>
    <w:rsid w:val="001428B3"/>
    <w:rsid w:val="00146D23"/>
    <w:rsid w:val="00182771"/>
    <w:rsid w:val="00195196"/>
    <w:rsid w:val="001A4034"/>
    <w:rsid w:val="001B40EF"/>
    <w:rsid w:val="001D4D54"/>
    <w:rsid w:val="001E3EB4"/>
    <w:rsid w:val="001E3F28"/>
    <w:rsid w:val="002115F8"/>
    <w:rsid w:val="00217A05"/>
    <w:rsid w:val="00225606"/>
    <w:rsid w:val="002307D0"/>
    <w:rsid w:val="00237E27"/>
    <w:rsid w:val="002413BD"/>
    <w:rsid w:val="00241911"/>
    <w:rsid w:val="002539FA"/>
    <w:rsid w:val="00257A83"/>
    <w:rsid w:val="00266FF4"/>
    <w:rsid w:val="002969A1"/>
    <w:rsid w:val="002A1AF5"/>
    <w:rsid w:val="002B3BE2"/>
    <w:rsid w:val="002C65F8"/>
    <w:rsid w:val="002D1ADE"/>
    <w:rsid w:val="002E44FE"/>
    <w:rsid w:val="00304D63"/>
    <w:rsid w:val="00320600"/>
    <w:rsid w:val="0033028E"/>
    <w:rsid w:val="00350988"/>
    <w:rsid w:val="003549D8"/>
    <w:rsid w:val="00373617"/>
    <w:rsid w:val="00374E20"/>
    <w:rsid w:val="00377238"/>
    <w:rsid w:val="0039594F"/>
    <w:rsid w:val="003D1B34"/>
    <w:rsid w:val="003D3CE5"/>
    <w:rsid w:val="003D4CEB"/>
    <w:rsid w:val="003E1FE6"/>
    <w:rsid w:val="003E59AB"/>
    <w:rsid w:val="003F5C7B"/>
    <w:rsid w:val="00411EA0"/>
    <w:rsid w:val="00416909"/>
    <w:rsid w:val="004373DD"/>
    <w:rsid w:val="00447437"/>
    <w:rsid w:val="004535EF"/>
    <w:rsid w:val="0045797D"/>
    <w:rsid w:val="004712DF"/>
    <w:rsid w:val="004923E7"/>
    <w:rsid w:val="0049773E"/>
    <w:rsid w:val="004978B0"/>
    <w:rsid w:val="004B03C7"/>
    <w:rsid w:val="004B4B46"/>
    <w:rsid w:val="004C7C09"/>
    <w:rsid w:val="004D6A37"/>
    <w:rsid w:val="004E42C6"/>
    <w:rsid w:val="004F0169"/>
    <w:rsid w:val="004F2ADF"/>
    <w:rsid w:val="00500C57"/>
    <w:rsid w:val="005050B0"/>
    <w:rsid w:val="00506139"/>
    <w:rsid w:val="00507BB2"/>
    <w:rsid w:val="00516165"/>
    <w:rsid w:val="00522DAF"/>
    <w:rsid w:val="00527F1F"/>
    <w:rsid w:val="005540B6"/>
    <w:rsid w:val="005540E6"/>
    <w:rsid w:val="005732F6"/>
    <w:rsid w:val="00580356"/>
    <w:rsid w:val="00583A67"/>
    <w:rsid w:val="00595DC1"/>
    <w:rsid w:val="005A5A9F"/>
    <w:rsid w:val="005B2F13"/>
    <w:rsid w:val="005D4B8B"/>
    <w:rsid w:val="005E2EE5"/>
    <w:rsid w:val="00630123"/>
    <w:rsid w:val="00632BCB"/>
    <w:rsid w:val="00637A75"/>
    <w:rsid w:val="00686321"/>
    <w:rsid w:val="0069685A"/>
    <w:rsid w:val="006A14C6"/>
    <w:rsid w:val="006B19A4"/>
    <w:rsid w:val="006B7E74"/>
    <w:rsid w:val="006C2B0E"/>
    <w:rsid w:val="006D493C"/>
    <w:rsid w:val="006F0085"/>
    <w:rsid w:val="006F16F8"/>
    <w:rsid w:val="006F4FE1"/>
    <w:rsid w:val="00703C0A"/>
    <w:rsid w:val="007104DF"/>
    <w:rsid w:val="007243C5"/>
    <w:rsid w:val="00754ADE"/>
    <w:rsid w:val="0076350B"/>
    <w:rsid w:val="00776DE5"/>
    <w:rsid w:val="007A2FD5"/>
    <w:rsid w:val="007A779E"/>
    <w:rsid w:val="007C0DFB"/>
    <w:rsid w:val="007D1F0C"/>
    <w:rsid w:val="007D40B1"/>
    <w:rsid w:val="007E575F"/>
    <w:rsid w:val="007F3517"/>
    <w:rsid w:val="00805515"/>
    <w:rsid w:val="00811CA1"/>
    <w:rsid w:val="008512B0"/>
    <w:rsid w:val="00866D0D"/>
    <w:rsid w:val="00892323"/>
    <w:rsid w:val="008A27B6"/>
    <w:rsid w:val="008A439F"/>
    <w:rsid w:val="008C29AB"/>
    <w:rsid w:val="008E3B24"/>
    <w:rsid w:val="008F5AE8"/>
    <w:rsid w:val="008F691E"/>
    <w:rsid w:val="00915C39"/>
    <w:rsid w:val="00921007"/>
    <w:rsid w:val="00946A3C"/>
    <w:rsid w:val="0096402C"/>
    <w:rsid w:val="00970EAE"/>
    <w:rsid w:val="009833A4"/>
    <w:rsid w:val="00984A4F"/>
    <w:rsid w:val="00986546"/>
    <w:rsid w:val="009A02CC"/>
    <w:rsid w:val="009C1A11"/>
    <w:rsid w:val="009C2103"/>
    <w:rsid w:val="009D09A4"/>
    <w:rsid w:val="009D2866"/>
    <w:rsid w:val="009F4F60"/>
    <w:rsid w:val="00A110C5"/>
    <w:rsid w:val="00A32E30"/>
    <w:rsid w:val="00A70860"/>
    <w:rsid w:val="00A80451"/>
    <w:rsid w:val="00A82F33"/>
    <w:rsid w:val="00A9544B"/>
    <w:rsid w:val="00AA1131"/>
    <w:rsid w:val="00AC5982"/>
    <w:rsid w:val="00B074EF"/>
    <w:rsid w:val="00B10AA2"/>
    <w:rsid w:val="00B31D54"/>
    <w:rsid w:val="00B36144"/>
    <w:rsid w:val="00B4586F"/>
    <w:rsid w:val="00B50A12"/>
    <w:rsid w:val="00B60079"/>
    <w:rsid w:val="00B917A3"/>
    <w:rsid w:val="00B96388"/>
    <w:rsid w:val="00BC669F"/>
    <w:rsid w:val="00BD2644"/>
    <w:rsid w:val="00C27CF8"/>
    <w:rsid w:val="00C31CFA"/>
    <w:rsid w:val="00C33306"/>
    <w:rsid w:val="00C431B6"/>
    <w:rsid w:val="00C80301"/>
    <w:rsid w:val="00C9780F"/>
    <w:rsid w:val="00CA129E"/>
    <w:rsid w:val="00CB33C0"/>
    <w:rsid w:val="00CB3C36"/>
    <w:rsid w:val="00CC082F"/>
    <w:rsid w:val="00CC7D54"/>
    <w:rsid w:val="00CD2EE1"/>
    <w:rsid w:val="00CD6C01"/>
    <w:rsid w:val="00CE5345"/>
    <w:rsid w:val="00CF6319"/>
    <w:rsid w:val="00D32A43"/>
    <w:rsid w:val="00D56453"/>
    <w:rsid w:val="00D60CDD"/>
    <w:rsid w:val="00D613E5"/>
    <w:rsid w:val="00D74A2B"/>
    <w:rsid w:val="00D82DB8"/>
    <w:rsid w:val="00D9788A"/>
    <w:rsid w:val="00DB3B0B"/>
    <w:rsid w:val="00DD2515"/>
    <w:rsid w:val="00DD64D9"/>
    <w:rsid w:val="00DF0715"/>
    <w:rsid w:val="00DF5B74"/>
    <w:rsid w:val="00E051C2"/>
    <w:rsid w:val="00E14590"/>
    <w:rsid w:val="00E535D0"/>
    <w:rsid w:val="00E72093"/>
    <w:rsid w:val="00E82D51"/>
    <w:rsid w:val="00E91850"/>
    <w:rsid w:val="00EA77F2"/>
    <w:rsid w:val="00EB1027"/>
    <w:rsid w:val="00EB5039"/>
    <w:rsid w:val="00EB76C8"/>
    <w:rsid w:val="00ED05C6"/>
    <w:rsid w:val="00ED7960"/>
    <w:rsid w:val="00EE3059"/>
    <w:rsid w:val="00F46CC8"/>
    <w:rsid w:val="00F5049B"/>
    <w:rsid w:val="00F74F57"/>
    <w:rsid w:val="00F828C1"/>
    <w:rsid w:val="00F83046"/>
    <w:rsid w:val="00FA6B8B"/>
    <w:rsid w:val="00FC0AE4"/>
    <w:rsid w:val="00FD3762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A840D"/>
  <w15:docId w15:val="{D9FDC800-0935-4FC0-ACA7-79F950B5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ckwell" w:eastAsia="MS Mincho" w:hAnsi="Rockwel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4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1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MLS-Body">
    <w:name w:val="CSMLS-Body"/>
    <w:qFormat/>
    <w:rsid w:val="00266FF4"/>
    <w:pPr>
      <w:spacing w:after="160" w:line="240" w:lineRule="auto"/>
    </w:pPr>
    <w:rPr>
      <w:rFonts w:cs="Times New Roman"/>
      <w:szCs w:val="20"/>
    </w:rPr>
  </w:style>
  <w:style w:type="paragraph" w:customStyle="1" w:styleId="CSMLS-Heading">
    <w:name w:val="CSMLS-Heading"/>
    <w:link w:val="CSMLS-HeadingChar"/>
    <w:qFormat/>
    <w:rsid w:val="00266FF4"/>
    <w:pPr>
      <w:keepLines/>
      <w:suppressAutoHyphens/>
      <w:spacing w:before="160" w:after="160" w:line="240" w:lineRule="auto"/>
      <w:outlineLvl w:val="0"/>
    </w:pPr>
    <w:rPr>
      <w:rFonts w:ascii="Century Gothic" w:hAnsi="Century Gothic" w:cs="Times New Roman"/>
      <w:color w:val="0078AE"/>
      <w:sz w:val="32"/>
      <w:szCs w:val="24"/>
    </w:rPr>
  </w:style>
  <w:style w:type="character" w:customStyle="1" w:styleId="CSMLS-HeadingChar">
    <w:name w:val="CSMLS-Heading Char"/>
    <w:link w:val="CSMLS-Heading"/>
    <w:rsid w:val="00266FF4"/>
    <w:rPr>
      <w:rFonts w:ascii="Century Gothic" w:eastAsia="MS Mincho" w:hAnsi="Century Gothic" w:cs="Times New Roman"/>
      <w:color w:val="0078AE"/>
      <w:sz w:val="32"/>
      <w:szCs w:val="24"/>
    </w:rPr>
  </w:style>
  <w:style w:type="paragraph" w:customStyle="1" w:styleId="CSMLS-SubHeading">
    <w:name w:val="CSMLS-SubHeading"/>
    <w:next w:val="Normal"/>
    <w:qFormat/>
    <w:rsid w:val="00266FF4"/>
    <w:pPr>
      <w:suppressAutoHyphens/>
      <w:spacing w:after="160" w:line="240" w:lineRule="auto"/>
    </w:pPr>
    <w:rPr>
      <w:rFonts w:ascii="Century Gothic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0F"/>
  </w:style>
  <w:style w:type="paragraph" w:styleId="Footer">
    <w:name w:val="footer"/>
    <w:basedOn w:val="Normal"/>
    <w:link w:val="FooterChar"/>
    <w:uiPriority w:val="99"/>
    <w:unhideWhenUsed/>
    <w:rsid w:val="00C9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0F"/>
  </w:style>
  <w:style w:type="character" w:customStyle="1" w:styleId="Heading1Char">
    <w:name w:val="Heading 1 Char"/>
    <w:basedOn w:val="DefaultParagraphFont"/>
    <w:link w:val="Heading1"/>
    <w:uiPriority w:val="9"/>
    <w:rsid w:val="00984A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84A4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A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4A4F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84A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4A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C3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5C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C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5C3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1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ADF"/>
    <w:rPr>
      <w:b/>
      <w:bCs/>
      <w:sz w:val="20"/>
      <w:szCs w:val="20"/>
    </w:rPr>
  </w:style>
  <w:style w:type="character" w:customStyle="1" w:styleId="title-text">
    <w:name w:val="title-text"/>
    <w:basedOn w:val="DefaultParagraphFont"/>
    <w:rsid w:val="006F16F8"/>
  </w:style>
  <w:style w:type="character" w:styleId="EndnoteReference">
    <w:name w:val="endnote reference"/>
    <w:basedOn w:val="DefaultParagraphFont"/>
    <w:uiPriority w:val="99"/>
    <w:semiHidden/>
    <w:unhideWhenUsed/>
    <w:rsid w:val="006F16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mls.org/A-propos-de-nous/Nos-membres/Code-de-deontologie.aspx?lang=fr-CA" TargetMode="External"/><Relationship Id="rId13" Type="http://schemas.openxmlformats.org/officeDocument/2006/relationships/hyperlink" Target="https://www.cmpa-acpm.ca/fr/advice-publications/browse-articles/2017/patient-portals-a-new-communication-tool-for-doctors-and-patients" TargetMode="External"/><Relationship Id="rId18" Type="http://schemas.openxmlformats.org/officeDocument/2006/relationships/hyperlink" Target="https://www.ncbi.nlm.nih.gov/pubmed/240845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26436568" TargetMode="External"/><Relationship Id="rId7" Type="http://schemas.openxmlformats.org/officeDocument/2006/relationships/hyperlink" Target="https://www.canada.ca/fr/sante-canada/services/publications/systeme-et-services-sante/rapport-final-groupe-consultatif-innovation-soins-sante.html" TargetMode="External"/><Relationship Id="rId12" Type="http://schemas.openxmlformats.org/officeDocument/2006/relationships/hyperlink" Target="https://www.infoway-inforoute.ca/fr/solutions/fondements-de-la-sante-numerique/dossiers-de-sante-electroniques/systemes-d-information-de-laboratoire" TargetMode="External"/><Relationship Id="rId17" Type="http://schemas.openxmlformats.org/officeDocument/2006/relationships/hyperlink" Target="https://www.cihi.ca/fr/les-soins-non-necessaires-au-canada-infographi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hoisiravecsoin.org/perspectives/" TargetMode="External"/><Relationship Id="rId20" Type="http://schemas.openxmlformats.org/officeDocument/2006/relationships/hyperlink" Target="https://pdfs.semanticscholar.org/18a1/5c2f4439d4cde227a7253c9d32d9f344351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foway-inforoute.ca/fr/solutions/fondements-de-la-sante-numerique/dossiers-medicaux-electronique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choisiravecsoin.org/recommandations/" TargetMode="External"/><Relationship Id="rId23" Type="http://schemas.openxmlformats.org/officeDocument/2006/relationships/hyperlink" Target="https://www.mlo-online.com/information-technology/lis/article/13008886/reclaiming-the-clinical-conversation-a-challenge-for-the-laboratory" TargetMode="External"/><Relationship Id="rId10" Type="http://schemas.openxmlformats.org/officeDocument/2006/relationships/hyperlink" Target="https://healthcare-in-europe.com/en/news/laboratory-medicine-is-an-interdisciplinary-subject.html" TargetMode="External"/><Relationship Id="rId19" Type="http://schemas.openxmlformats.org/officeDocument/2006/relationships/hyperlink" Target="https://www.cdhowe.org/sites/default/files/attachments/research_papers/mixed/Commentary_533%20final%20updat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tp.cdc.gov/pub/CLIAC_meeting_presentations/pdf/Addenda/cliac0906/AddendumO.pdf" TargetMode="External"/><Relationship Id="rId14" Type="http://schemas.openxmlformats.org/officeDocument/2006/relationships/hyperlink" Target="https://lactualite.com/sante-et-science/la-medecine-qui-en-fait-trop-nest-pas-sans-risque/" TargetMode="External"/><Relationship Id="rId22" Type="http://schemas.openxmlformats.org/officeDocument/2006/relationships/hyperlink" Target="https://www.clinicallabmanager.com/business/the-hidden-value-in-the-clinical-lab-11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Marino</dc:creator>
  <cp:lastModifiedBy>Laura Zychla</cp:lastModifiedBy>
  <cp:revision>2</cp:revision>
  <dcterms:created xsi:type="dcterms:W3CDTF">2019-05-29T19:57:00Z</dcterms:created>
  <dcterms:modified xsi:type="dcterms:W3CDTF">2019-05-29T19:57:00Z</dcterms:modified>
</cp:coreProperties>
</file>